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A189" w14:textId="77777777" w:rsidR="00B25F73" w:rsidRPr="006D1D8D" w:rsidRDefault="00B25F73" w:rsidP="00B25F73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6D1D8D">
        <w:rPr>
          <w:rFonts w:ascii="Times New Roman" w:eastAsia="Times New Roman" w:hAnsi="Times New Roman" w:cs="Times New Roman"/>
          <w:b/>
          <w:color w:val="000000" w:themeColor="text1"/>
          <w:sz w:val="24"/>
        </w:rPr>
        <w:t>Demographics of Aging</w:t>
      </w:r>
    </w:p>
    <w:p w14:paraId="0AFC9CC7" w14:textId="60D74832" w:rsidR="006D1D8D" w:rsidRPr="006D1D8D" w:rsidRDefault="006D1D8D" w:rsidP="006D1D8D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6D1D8D">
        <w:rPr>
          <w:rFonts w:ascii="Times New Roman" w:eastAsia="Times New Roman" w:hAnsi="Times New Roman" w:cs="Times New Roman"/>
          <w:b/>
          <w:color w:val="000000" w:themeColor="text1"/>
          <w:sz w:val="24"/>
        </w:rPr>
        <w:t>Lisa Stebbins, B.A., Lisa K. Lashley, Psy.D., and Charles Golden, Ph.D.</w:t>
      </w:r>
    </w:p>
    <w:p w14:paraId="07600DC3" w14:textId="2BD5C3A3" w:rsidR="006D1D8D" w:rsidRPr="006D1D8D" w:rsidRDefault="006D1D8D" w:rsidP="006D1D8D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6D1D8D">
        <w:rPr>
          <w:rFonts w:ascii="Times New Roman" w:eastAsia="Times New Roman" w:hAnsi="Times New Roman" w:cs="Times New Roman"/>
          <w:b/>
          <w:color w:val="000000" w:themeColor="text1"/>
          <w:sz w:val="24"/>
        </w:rPr>
        <w:t>Nova Southeastern University</w:t>
      </w:r>
    </w:p>
    <w:p w14:paraId="7E843EE7" w14:textId="655A4892" w:rsidR="00EA4B4D" w:rsidRPr="00FD5239" w:rsidRDefault="00792A19" w:rsidP="00404C69">
      <w:pPr>
        <w:spacing w:after="12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experience of growing older in the 21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century is </w:t>
      </w:r>
      <w:r w:rsidR="0082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vastly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different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the past. Th</w:t>
      </w:r>
      <w:r w:rsidR="0002143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advancement in technology, 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medicine</w:t>
      </w:r>
      <w:r w:rsidR="0002143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lower rates of death at birth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allowed for the population to shift in size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shift is specifically from t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baby boomers 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generation, which </w:t>
      </w:r>
      <w:r w:rsidR="00AD1F2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refers to the increase in birth rate 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725CF8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1940’s to the early 1960’s</w:t>
      </w:r>
      <w:r w:rsidR="00D263D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4C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generation is aging and </w:t>
      </w:r>
      <w:r w:rsidR="00C9720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10952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recent years</w:t>
      </w:r>
      <w:r w:rsidR="00C9720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first baby boomers 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began reaching </w:t>
      </w:r>
      <w:r w:rsidR="00C9720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retirement age. </w:t>
      </w:r>
      <w:r w:rsidR="006A042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CF8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</w:t>
      </w:r>
      <w:r w:rsidR="0082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segment of the U.S. is the fastest growing, so it is essential to understand the growth of the aging population. </w:t>
      </w:r>
      <w:r w:rsidR="00FC2555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aging group</w:t>
      </w:r>
      <w:r w:rsidR="00EA4B4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divided due to its</w:t>
      </w:r>
      <w:r w:rsidR="00FC2555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immense diversity</w:t>
      </w:r>
      <w:r w:rsidR="00EA4B4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0A78E55" w14:textId="72C9992C" w:rsidR="008C0137" w:rsidRPr="00FD5239" w:rsidRDefault="00737109" w:rsidP="00404C69">
      <w:pPr>
        <w:spacing w:after="12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According to projections between 2012 and 2050</w:t>
      </w:r>
      <w:r w:rsidR="00D97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estimate</w:t>
      </w:r>
      <w:r w:rsidR="00D97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suggest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considerable growth with the older adult population </w:t>
      </w:r>
      <w:r w:rsidR="00E0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83.7 million aged 65 and older</w:t>
      </w:r>
      <w:r w:rsidR="00103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2050 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Ortman, Velkoff, &amp; Hogan, 2014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725CF8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past decade the population of individuals aged 65 and older is 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fastest growing </w:t>
      </w:r>
      <w:r w:rsidR="00E0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 segment</w:t>
      </w:r>
      <w:r w:rsidR="00725CF8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5C85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Specifically, 21.7 million individuals are aged 65 to 7</w:t>
      </w:r>
      <w:r w:rsidR="00AF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E85C85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13.1 million</w:t>
      </w:r>
      <w:r w:rsidR="00E0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areb</w:t>
      </w:r>
      <w:r w:rsidR="00E85C85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between 75 to 84 years, and 5.1 million i between 85 to 94 years old (Werner, 2011). </w:t>
      </w:r>
      <w:r w:rsidR="00A952A1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61AF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population between the ages 85 to 94 has</w:t>
      </w:r>
      <w:r w:rsidR="00A952A1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experienced the fastest growth, gr</w:t>
      </w:r>
      <w:r w:rsidR="00E0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owing</w:t>
      </w:r>
      <w:r w:rsidR="00A952A1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29.9% in the past decade (Werner, 2011).</w:t>
      </w:r>
      <w:r w:rsidR="001773EA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58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aging population is showing </w:t>
      </w:r>
      <w:r w:rsidR="003C768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 w:rsidR="00F3658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growth in all regions of the United States. The South and </w:t>
      </w:r>
      <w:r w:rsidR="003C768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Midwest</w:t>
      </w:r>
      <w:r w:rsidR="00F3658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shown the largest number of older adults (Werner, 2011). </w:t>
      </w:r>
    </w:p>
    <w:p w14:paraId="571E4D88" w14:textId="69F552C1" w:rsidR="008C0137" w:rsidRPr="00FD5239" w:rsidRDefault="00206BE2" w:rsidP="00404C69">
      <w:pPr>
        <w:spacing w:after="12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Life expectancy is gradually growing</w:t>
      </w:r>
      <w:r w:rsidR="00642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although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varies across the group. In year 2050, the projections of life expectancy, of those aged 65</w:t>
      </w:r>
      <w:r w:rsidR="0082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are non-Hispanic Caucasian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is </w:t>
      </w:r>
      <w:r w:rsidR="00751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estimated to rise 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2</w:t>
      </w:r>
      <w:r w:rsidR="00B6268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3.5 years for 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females and 20.6 years for males, while at age 85 it is </w:t>
      </w:r>
      <w:r w:rsidR="00B6268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estimated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have a life </w:t>
      </w:r>
      <w:r w:rsidR="0092167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expectancy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8.5 for females and 7 years for males. Similarly, at age 65 the </w:t>
      </w:r>
      <w:r w:rsidR="00B6268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life expectancy for 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non-</w:t>
      </w:r>
      <w:r w:rsidR="0092167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Hispanic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blacks (22.3 years for female</w:t>
      </w:r>
      <w:r w:rsidR="00B6268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s; 19.2 years for males) and for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Hispanics (23.5 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years for females and 20.6 years for males) has gradually grown, as well at age 85 it is projected to have similar projections to the non-</w:t>
      </w:r>
      <w:r w:rsidR="0092167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Hispanic</w:t>
      </w:r>
      <w:r w:rsidR="00980D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Caucasian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group (</w:t>
      </w:r>
      <w:r w:rsidR="00103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Ortman, Velkoff, &amp; Hogan, 2014</w:t>
      </w:r>
      <w:r w:rsidR="00980D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N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oteworthy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across all </w:t>
      </w:r>
      <w:r w:rsidR="00C0150C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age and race groups gender is a constant, in which females </w:t>
      </w:r>
      <w:r w:rsidR="0003600A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outnumber men as they age</w:t>
      </w:r>
      <w:r w:rsidR="0039581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710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However, male</w:t>
      </w:r>
      <w:r w:rsidR="005D63FF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are showing a</w:t>
      </w:r>
      <w:r w:rsidR="0073710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rapid growth, for instance, </w:t>
      </w:r>
      <w:r w:rsidR="005D63FF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those</w:t>
      </w:r>
      <w:r w:rsidR="0073710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85 to 94 years old in the past ten years has increased by 46.5%, while females increased by 22.9% (Werner, 2011). </w:t>
      </w:r>
      <w:r w:rsidR="00980D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sex ratio gap is increasingly closing as males life expectancies are progressively increasing.</w:t>
      </w:r>
      <w:r w:rsidR="00F3658D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0E34E4" w14:textId="1DA87270" w:rsidR="005127FE" w:rsidRPr="00FD5239" w:rsidRDefault="00A22210" w:rsidP="00404C69">
      <w:pPr>
        <w:spacing w:after="12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life expectancy gradually grows throughout the years with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aging po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pulation, causes of mortality would be expected</w:t>
      </w:r>
      <w:r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decline. However, this is not the case. Mortality will affect how this population declines over the years and this will have wide-ranging implications.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One of th</w:t>
      </w:r>
      <w:r w:rsidR="00CD7B5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most prevailing illnesses is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Major Neurocognitive Disorder due to Dementia. According to the DSM-5 (2013) d</w:t>
      </w:r>
      <w:r w:rsidR="00E84C1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ementia rises steeply with age; 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between the ages 65 and 74 approximately 7% are diagnosed with Alzheimer’s, </w:t>
      </w:r>
      <w:r w:rsidR="00CD7B5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53 % 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CD7B5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ages 75 and 84</w:t>
      </w:r>
      <w:r w:rsidR="00CD7B5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40% of those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diagnosed </w:t>
      </w:r>
      <w:r w:rsidR="002636A8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85 years and older (</w:t>
      </w:r>
      <w:r w:rsidR="00C15ACA" w:rsidRPr="00FD52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American</w:t>
      </w:r>
      <w:r w:rsidR="00C31D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Psychiatric Association, 2013</w:t>
      </w:r>
      <w:r w:rsidR="002636A8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Additionally</w:t>
      </w:r>
      <w:r w:rsidR="00AA723C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</w:t>
      </w:r>
      <w:r w:rsidR="0018379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prevalence of vascular dementia estimates from .2% between </w:t>
      </w:r>
      <w:r w:rsidR="00AA723C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E84C1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ages 65 and 70, increasing</w:t>
      </w:r>
      <w:r w:rsidR="0018379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13% at age 70</w:t>
      </w:r>
      <w:r w:rsidR="00AA723C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8379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by 90 years or ol</w:t>
      </w:r>
      <w:r w:rsidR="00AA723C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der the prevalence steeply increases to </w:t>
      </w:r>
      <w:r w:rsidR="0018379B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44.6%. </w:t>
      </w:r>
      <w:r w:rsidR="002D54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Furthermore, the prevalence of Parkinson’s disease, which is more common in males, has been steadily increasing with </w:t>
      </w:r>
      <w:r w:rsidR="00E84C1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age, in which between 65 and 69 year the prevalence is 5%</w:t>
      </w:r>
      <w:r w:rsidR="002D54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by 85 years</w:t>
      </w:r>
      <w:r w:rsidR="00AA723C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older</w:t>
      </w:r>
      <w:r w:rsidR="002D54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 </w:t>
      </w:r>
      <w:r w:rsidR="00B32B8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narrows</w:t>
      </w:r>
      <w:r w:rsidR="002D54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3%</w:t>
      </w:r>
      <w:r w:rsidR="00C15ACA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40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15ACA" w:rsidRPr="00FD52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American Psychiatric Association, 2013). </w:t>
      </w:r>
    </w:p>
    <w:p w14:paraId="7EDC00E4" w14:textId="6C71F01E" w:rsidR="00FC2555" w:rsidRPr="00FD5239" w:rsidRDefault="006D1D8D" w:rsidP="00404C69">
      <w:pPr>
        <w:spacing w:after="12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Accompanying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7F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these types of neurocognitive disorders 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usually </w:t>
      </w:r>
      <w:r w:rsidR="005127F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behavioral and psychological manifestations. It is estimated that about 80% of those diagnosed with major neurocognitive disorders will have some sort of distressing cognitive manifestations, </w:t>
      </w:r>
      <w:r w:rsidR="003C768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 symptoms of depression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fatigue</w:t>
      </w:r>
      <w:r w:rsidR="003C768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27F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well as physical </w:t>
      </w:r>
      <w:r w:rsidR="008C013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manifestations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including incontinence </w:t>
      </w:r>
      <w:r w:rsidR="0068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and gait impairments</w:t>
      </w:r>
      <w:r w:rsidR="00C15ACA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ACA" w:rsidRPr="00FD52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(American Psychiatric Association, 2013). </w:t>
      </w:r>
      <w:r w:rsidR="005127F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8D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According to the 2010 Census, </w:t>
      </w:r>
      <w:r w:rsidR="00904A1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approximately</w:t>
      </w:r>
      <w:r w:rsidR="00B708D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40.2 million </w:t>
      </w:r>
      <w:r w:rsidR="00904A1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individuals</w:t>
      </w:r>
      <w:r w:rsidR="00B708D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65 and over, </w:t>
      </w:r>
      <w:r w:rsidR="00904A1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live in skilled-nursing facilities</w:t>
      </w:r>
      <w:r w:rsidR="00B708D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9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U.S. Census Bureau, 2010</w:t>
      </w:r>
      <w:r w:rsidR="00B708DE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04A16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will present complications in terms of </w:t>
      </w:r>
      <w:r w:rsidR="007A1DC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Medicare and Social Security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7A1DC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U.S.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1DC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while simultaneously 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affect</w:t>
      </w:r>
      <w:r w:rsidR="007A1DC3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B10F50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families, businesses, and health care providers.</w:t>
      </w:r>
      <w:r w:rsid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These</w:t>
      </w:r>
      <w:r w:rsidR="00FD523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pressure</w:t>
      </w:r>
      <w:r w:rsidR="0073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D523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signal </w:t>
      </w:r>
      <w:r w:rsid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D523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need to </w:t>
      </w:r>
      <w:r w:rsidR="0073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transition</w:t>
      </w:r>
      <w:r w:rsidR="00FD523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towards more </w:t>
      </w:r>
      <w:r w:rsidR="008C0137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interdisciplinary practices</w:t>
      </w:r>
      <w:r w:rsidR="00FD523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are </w:t>
      </w:r>
      <w:r w:rsidR="0073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superiorly</w:t>
      </w:r>
      <w:r w:rsidR="00FD5239" w:rsidRPr="00FD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suited to he</w:t>
      </w:r>
      <w:r w:rsidR="00AC6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lp with the increasing demands of this aging population. </w:t>
      </w:r>
    </w:p>
    <w:p w14:paraId="25448806" w14:textId="76E531D7" w:rsidR="00D06393" w:rsidRPr="00404C69" w:rsidRDefault="00A00A5E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404C69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Further Reading </w:t>
      </w:r>
    </w:p>
    <w:p w14:paraId="72B66208" w14:textId="77777777" w:rsidR="00C15ACA" w:rsidRDefault="00C15ACA">
      <w:pPr>
        <w:spacing w:after="120"/>
        <w:rPr>
          <w:rFonts w:ascii="Times New Roman" w:eastAsia="Times New Roman" w:hAnsi="Times New Roman" w:cs="Times New Roman"/>
          <w:b/>
          <w:color w:val="595959"/>
          <w:sz w:val="24"/>
        </w:rPr>
      </w:pPr>
    </w:p>
    <w:p w14:paraId="43E229F6" w14:textId="77777777" w:rsidR="009936AC" w:rsidRDefault="00C15ACA" w:rsidP="009936AC">
      <w:pPr>
        <w:spacing w:after="12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993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American Psychiatric Association. (2013). </w:t>
      </w:r>
      <w:r w:rsidRPr="009936A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Diagnostic and statistical manual of mental </w:t>
      </w:r>
    </w:p>
    <w:p w14:paraId="57081F56" w14:textId="5670A1FA" w:rsidR="007A1DC3" w:rsidRPr="009936AC" w:rsidRDefault="00C15ACA" w:rsidP="009936AC">
      <w:pPr>
        <w:spacing w:after="12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36A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disorders </w:t>
      </w:r>
      <w:r w:rsidRPr="00993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(5th ed.). Arlington, VA: American Psychiatric Publishing.</w:t>
      </w:r>
    </w:p>
    <w:p w14:paraId="57C2B678" w14:textId="77777777" w:rsidR="00103AD8" w:rsidRPr="009936AC" w:rsidRDefault="00103AD8" w:rsidP="009936AC">
      <w:pPr>
        <w:spacing w:after="12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A02C4F8" w14:textId="77777777" w:rsidR="009936AC" w:rsidRDefault="00C15ACA" w:rsidP="009936AC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Ortman, J. M., Velkoff, V. A., &amp; Hogan, H. (2014). An aging nation: The older population in </w:t>
      </w:r>
      <w:r w:rsidR="000E7201"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</w:p>
    <w:p w14:paraId="239C8974" w14:textId="174B2D12" w:rsidR="00C15ACA" w:rsidRDefault="000E7201" w:rsidP="009936AC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United Sates. U.S. Census B</w:t>
      </w:r>
      <w:r w:rsidR="00C15ACA"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ureau, 1, 25-1140. </w:t>
      </w:r>
      <w:r w:rsidR="00C31D0B"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Retrieved from </w:t>
      </w:r>
      <w:hyperlink r:id="rId4" w:history="1">
        <w:r w:rsidR="00103AD8" w:rsidRPr="009936A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https://www.census.gov/prod/2014pubs/p25-1140.pdf</w:t>
        </w:r>
      </w:hyperlink>
    </w:p>
    <w:p w14:paraId="798DC75C" w14:textId="77777777" w:rsidR="00D930EF" w:rsidRPr="009936AC" w:rsidRDefault="00D930EF" w:rsidP="009936AC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E35B64" w14:textId="77777777" w:rsidR="00D930EF" w:rsidRPr="00D930EF" w:rsidRDefault="00D930EF" w:rsidP="00D930EF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930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U.S. Census Bureau (2010). Population 65 years and older in skilled-nursing facilities by </w:t>
      </w:r>
    </w:p>
    <w:p w14:paraId="7335FF3D" w14:textId="77777777" w:rsidR="00D930EF" w:rsidRPr="00D930EF" w:rsidRDefault="00D930EF" w:rsidP="00D930EF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930EF">
        <w:rPr>
          <w:rFonts w:ascii="Times New Roman" w:eastAsia="Times New Roman" w:hAnsi="Times New Roman" w:cs="Times New Roman"/>
          <w:color w:val="000000" w:themeColor="text1"/>
          <w:sz w:val="24"/>
        </w:rPr>
        <w:t>selected age groups and sex: 2010. Retrieved from https://www.census.gov/prod/cen2010/doc/sf1.pdf</w:t>
      </w:r>
    </w:p>
    <w:p w14:paraId="307F56D4" w14:textId="77777777" w:rsidR="00103AD8" w:rsidRPr="009936AC" w:rsidRDefault="00103AD8" w:rsidP="009936AC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0CD040" w14:textId="77777777" w:rsidR="009936AC" w:rsidRDefault="000E7201" w:rsidP="009936AC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Werner, C. A. (2011). The older </w:t>
      </w:r>
      <w:r w:rsidR="00D65B60"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population</w:t>
      </w:r>
      <w:r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2010. </w:t>
      </w:r>
      <w:r w:rsidRPr="009936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U.S. Census Bureau</w:t>
      </w:r>
      <w:r w:rsidR="00D65B60"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93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Retrieved from </w:t>
      </w:r>
    </w:p>
    <w:p w14:paraId="55464556" w14:textId="189DF062" w:rsidR="000E7201" w:rsidRPr="009936AC" w:rsidRDefault="00B25F73" w:rsidP="009936AC">
      <w:pPr>
        <w:spacing w:after="120" w:line="24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0E7201" w:rsidRPr="009936A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https://www.census.gov/prod/cen2010/briefs/c2010br-09.pdf</w:t>
        </w:r>
      </w:hyperlink>
      <w:r w:rsidR="000E7201" w:rsidRPr="00993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6DEFCE" w14:textId="63DEF84D" w:rsidR="00E85C85" w:rsidRDefault="00E85C85">
      <w:pPr>
        <w:spacing w:after="120"/>
        <w:rPr>
          <w:rFonts w:ascii="Times New Roman" w:eastAsia="Times New Roman" w:hAnsi="Times New Roman" w:cs="Times New Roman"/>
          <w:b/>
          <w:color w:val="595959"/>
          <w:sz w:val="24"/>
        </w:rPr>
      </w:pPr>
    </w:p>
    <w:sectPr w:rsidR="00E8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93"/>
    <w:rsid w:val="0002143B"/>
    <w:rsid w:val="0003600A"/>
    <w:rsid w:val="000E7201"/>
    <w:rsid w:val="00103AD8"/>
    <w:rsid w:val="00156F3D"/>
    <w:rsid w:val="001773EA"/>
    <w:rsid w:val="0018379B"/>
    <w:rsid w:val="001C011B"/>
    <w:rsid w:val="00206BE2"/>
    <w:rsid w:val="00237CC7"/>
    <w:rsid w:val="002636A8"/>
    <w:rsid w:val="002D5406"/>
    <w:rsid w:val="00314D95"/>
    <w:rsid w:val="00324CC9"/>
    <w:rsid w:val="0039581D"/>
    <w:rsid w:val="003C768E"/>
    <w:rsid w:val="00404C69"/>
    <w:rsid w:val="00510952"/>
    <w:rsid w:val="005127FE"/>
    <w:rsid w:val="005B2533"/>
    <w:rsid w:val="005D63FF"/>
    <w:rsid w:val="006420B7"/>
    <w:rsid w:val="00661E3D"/>
    <w:rsid w:val="006858C5"/>
    <w:rsid w:val="006A0426"/>
    <w:rsid w:val="006D1D8D"/>
    <w:rsid w:val="00725CF8"/>
    <w:rsid w:val="00730FFD"/>
    <w:rsid w:val="00737109"/>
    <w:rsid w:val="00751516"/>
    <w:rsid w:val="00792A19"/>
    <w:rsid w:val="007A1DC3"/>
    <w:rsid w:val="00824840"/>
    <w:rsid w:val="00890784"/>
    <w:rsid w:val="008C0137"/>
    <w:rsid w:val="00904A16"/>
    <w:rsid w:val="00921677"/>
    <w:rsid w:val="00966A37"/>
    <w:rsid w:val="00980D06"/>
    <w:rsid w:val="009936AC"/>
    <w:rsid w:val="009A4DA7"/>
    <w:rsid w:val="009B5FCB"/>
    <w:rsid w:val="00A00A5E"/>
    <w:rsid w:val="00A22210"/>
    <w:rsid w:val="00A5525C"/>
    <w:rsid w:val="00A61AF9"/>
    <w:rsid w:val="00A952A1"/>
    <w:rsid w:val="00AA723C"/>
    <w:rsid w:val="00AC6085"/>
    <w:rsid w:val="00AD1F2E"/>
    <w:rsid w:val="00AF1ED2"/>
    <w:rsid w:val="00B10F50"/>
    <w:rsid w:val="00B11B51"/>
    <w:rsid w:val="00B25F73"/>
    <w:rsid w:val="00B32B8E"/>
    <w:rsid w:val="00B62687"/>
    <w:rsid w:val="00B708DE"/>
    <w:rsid w:val="00B911AA"/>
    <w:rsid w:val="00C0150C"/>
    <w:rsid w:val="00C06325"/>
    <w:rsid w:val="00C15ACA"/>
    <w:rsid w:val="00C31D0B"/>
    <w:rsid w:val="00C560DC"/>
    <w:rsid w:val="00C860E1"/>
    <w:rsid w:val="00C97203"/>
    <w:rsid w:val="00CD7B5B"/>
    <w:rsid w:val="00D06393"/>
    <w:rsid w:val="00D263DE"/>
    <w:rsid w:val="00D65B60"/>
    <w:rsid w:val="00D930EF"/>
    <w:rsid w:val="00D97786"/>
    <w:rsid w:val="00E070A1"/>
    <w:rsid w:val="00E84C13"/>
    <w:rsid w:val="00E85C85"/>
    <w:rsid w:val="00EA4B4D"/>
    <w:rsid w:val="00F17271"/>
    <w:rsid w:val="00F3658D"/>
    <w:rsid w:val="00FC2555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5052"/>
  <w15:docId w15:val="{0AF5001D-04A1-4BEA-8305-B9D0D96A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sus.gov/prod/cen2010/briefs/c2010br-09.pdf" TargetMode="External"/><Relationship Id="rId4" Type="http://schemas.openxmlformats.org/officeDocument/2006/relationships/hyperlink" Target="https://www.census.gov/prod/2014pubs/p25-114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charles golden</cp:lastModifiedBy>
  <cp:revision>4</cp:revision>
  <dcterms:created xsi:type="dcterms:W3CDTF">2020-03-11T19:11:00Z</dcterms:created>
  <dcterms:modified xsi:type="dcterms:W3CDTF">2020-04-28T15:32:00Z</dcterms:modified>
</cp:coreProperties>
</file>