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2C09" w14:textId="77777777" w:rsidR="00B31789" w:rsidRPr="006D5A14" w:rsidRDefault="00B31789" w:rsidP="00B31789">
      <w:pPr>
        <w:spacing w:line="480" w:lineRule="auto"/>
        <w:ind w:firstLine="720"/>
        <w:jc w:val="center"/>
        <w:rPr>
          <w:b/>
          <w:szCs w:val="36"/>
        </w:rPr>
      </w:pPr>
      <w:r>
        <w:rPr>
          <w:b/>
          <w:szCs w:val="36"/>
        </w:rPr>
        <w:t>Attention in Old Age</w:t>
      </w:r>
    </w:p>
    <w:p w14:paraId="1DE7247C" w14:textId="1D8D4C9C" w:rsidR="00CF696D" w:rsidRDefault="00CF696D" w:rsidP="006D5A14">
      <w:pPr>
        <w:spacing w:line="480" w:lineRule="auto"/>
        <w:ind w:firstLine="720"/>
        <w:jc w:val="center"/>
        <w:rPr>
          <w:b/>
          <w:szCs w:val="36"/>
        </w:rPr>
      </w:pPr>
      <w:r>
        <w:rPr>
          <w:b/>
          <w:szCs w:val="36"/>
        </w:rPr>
        <w:t>Anna C. McCarrey</w:t>
      </w:r>
    </w:p>
    <w:p w14:paraId="5F7534A4" w14:textId="5CD8ACEB" w:rsidR="00C43C8C" w:rsidRDefault="00C43C8C" w:rsidP="006D5A14">
      <w:pPr>
        <w:spacing w:line="480" w:lineRule="auto"/>
        <w:ind w:firstLine="720"/>
        <w:jc w:val="center"/>
        <w:rPr>
          <w:b/>
          <w:szCs w:val="36"/>
        </w:rPr>
      </w:pPr>
      <w:r>
        <w:rPr>
          <w:b/>
          <w:szCs w:val="36"/>
        </w:rPr>
        <w:t>Idaho State University</w:t>
      </w:r>
    </w:p>
    <w:p w14:paraId="749DC5E3" w14:textId="26C2F88D" w:rsidR="00185AFE" w:rsidRDefault="00945FD4" w:rsidP="004A5F5B">
      <w:pPr>
        <w:spacing w:line="480" w:lineRule="auto"/>
        <w:ind w:firstLine="720"/>
        <w:rPr>
          <w:szCs w:val="36"/>
        </w:rPr>
      </w:pPr>
      <w:r>
        <w:rPr>
          <w:szCs w:val="36"/>
        </w:rPr>
        <w:t xml:space="preserve">Attention </w:t>
      </w:r>
      <w:r w:rsidR="00690565">
        <w:rPr>
          <w:szCs w:val="36"/>
        </w:rPr>
        <w:t xml:space="preserve">is the first step </w:t>
      </w:r>
      <w:r w:rsidR="008874C1">
        <w:rPr>
          <w:szCs w:val="36"/>
        </w:rPr>
        <w:t>our</w:t>
      </w:r>
      <w:r w:rsidR="00690565">
        <w:rPr>
          <w:szCs w:val="36"/>
        </w:rPr>
        <w:t xml:space="preserve"> brain</w:t>
      </w:r>
      <w:r w:rsidR="008874C1">
        <w:rPr>
          <w:szCs w:val="36"/>
        </w:rPr>
        <w:t>s</w:t>
      </w:r>
      <w:r w:rsidR="00143E7A">
        <w:rPr>
          <w:szCs w:val="36"/>
        </w:rPr>
        <w:t xml:space="preserve"> take to actively process</w:t>
      </w:r>
      <w:r w:rsidR="00690565">
        <w:rPr>
          <w:szCs w:val="36"/>
        </w:rPr>
        <w:t xml:space="preserve"> information from the environment. Our attentional capacity is limited, such that we cannot process all the sights, sounds, smells and feelings surrounding us all at once. </w:t>
      </w:r>
      <w:r w:rsidR="00185AFE">
        <w:rPr>
          <w:szCs w:val="36"/>
        </w:rPr>
        <w:t>Attention (along with memory) is one of the basic cognitiv</w:t>
      </w:r>
      <w:r w:rsidR="008874C1">
        <w:rPr>
          <w:szCs w:val="36"/>
        </w:rPr>
        <w:t>e processes most impacted by growing older</w:t>
      </w:r>
      <w:r w:rsidR="00185AFE">
        <w:rPr>
          <w:szCs w:val="36"/>
        </w:rPr>
        <w:t xml:space="preserve">. </w:t>
      </w:r>
      <w:r w:rsidR="00690565">
        <w:rPr>
          <w:szCs w:val="36"/>
        </w:rPr>
        <w:t xml:space="preserve">In addition, </w:t>
      </w:r>
      <w:r w:rsidR="00185AFE">
        <w:rPr>
          <w:szCs w:val="36"/>
        </w:rPr>
        <w:t xml:space="preserve">attention is not a unitary process and </w:t>
      </w:r>
      <w:r w:rsidR="00345570">
        <w:rPr>
          <w:szCs w:val="36"/>
        </w:rPr>
        <w:t>different types of attention</w:t>
      </w:r>
      <w:r w:rsidR="00690565">
        <w:rPr>
          <w:szCs w:val="36"/>
        </w:rPr>
        <w:t xml:space="preserve"> require more cognitive resources</w:t>
      </w:r>
      <w:r w:rsidR="008874C1">
        <w:rPr>
          <w:szCs w:val="36"/>
        </w:rPr>
        <w:t xml:space="preserve"> than others</w:t>
      </w:r>
      <w:r w:rsidR="00143E7A">
        <w:rPr>
          <w:szCs w:val="36"/>
        </w:rPr>
        <w:t>. T</w:t>
      </w:r>
      <w:r w:rsidR="00185AFE">
        <w:rPr>
          <w:szCs w:val="36"/>
        </w:rPr>
        <w:t>hus</w:t>
      </w:r>
      <w:r w:rsidR="00143E7A">
        <w:rPr>
          <w:szCs w:val="36"/>
        </w:rPr>
        <w:t>,</w:t>
      </w:r>
      <w:r w:rsidR="00690565">
        <w:rPr>
          <w:szCs w:val="36"/>
        </w:rPr>
        <w:t xml:space="preserve"> n</w:t>
      </w:r>
      <w:r w:rsidR="00345570">
        <w:rPr>
          <w:szCs w:val="36"/>
        </w:rPr>
        <w:t xml:space="preserve">ot all </w:t>
      </w:r>
      <w:r w:rsidR="00690565">
        <w:rPr>
          <w:szCs w:val="36"/>
        </w:rPr>
        <w:t xml:space="preserve">attentional systems </w:t>
      </w:r>
      <w:r w:rsidR="00345570">
        <w:rPr>
          <w:szCs w:val="36"/>
        </w:rPr>
        <w:t xml:space="preserve">are </w:t>
      </w:r>
      <w:r w:rsidR="00185AFE">
        <w:rPr>
          <w:szCs w:val="36"/>
        </w:rPr>
        <w:t>subject to declines with age to the same degree</w:t>
      </w:r>
      <w:r w:rsidR="00345570">
        <w:rPr>
          <w:szCs w:val="36"/>
        </w:rPr>
        <w:t xml:space="preserve">. </w:t>
      </w:r>
    </w:p>
    <w:p w14:paraId="63BD7FC9" w14:textId="77777777" w:rsidR="00185AFE" w:rsidRDefault="00B21489" w:rsidP="004A5F5B">
      <w:pPr>
        <w:spacing w:line="480" w:lineRule="auto"/>
        <w:ind w:firstLine="720"/>
        <w:rPr>
          <w:szCs w:val="36"/>
        </w:rPr>
      </w:pPr>
      <w:r>
        <w:rPr>
          <w:szCs w:val="36"/>
        </w:rPr>
        <w:t>S</w:t>
      </w:r>
      <w:r w:rsidR="00345570">
        <w:rPr>
          <w:szCs w:val="36"/>
        </w:rPr>
        <w:t xml:space="preserve">ustained attention refers to </w:t>
      </w:r>
      <w:r w:rsidR="00A94CD1">
        <w:rPr>
          <w:szCs w:val="36"/>
        </w:rPr>
        <w:t xml:space="preserve">the ability to keep our focus and concentration on a task for an extended period of time. This type of attention </w:t>
      </w:r>
      <w:r w:rsidR="00143E7A">
        <w:rPr>
          <w:szCs w:val="36"/>
        </w:rPr>
        <w:t xml:space="preserve">is </w:t>
      </w:r>
      <w:r w:rsidR="00690565">
        <w:rPr>
          <w:szCs w:val="36"/>
        </w:rPr>
        <w:t>necessary</w:t>
      </w:r>
      <w:r w:rsidR="00A94CD1">
        <w:rPr>
          <w:szCs w:val="36"/>
        </w:rPr>
        <w:t xml:space="preserve"> when learning new things such as reading a book, listening to a lecture, taking an exam or when beginning to drive a car.</w:t>
      </w:r>
      <w:r w:rsidR="007C0372">
        <w:rPr>
          <w:szCs w:val="36"/>
        </w:rPr>
        <w:t xml:space="preserve"> Sustained attention </w:t>
      </w:r>
      <w:r w:rsidR="00143E7A">
        <w:rPr>
          <w:szCs w:val="36"/>
        </w:rPr>
        <w:t xml:space="preserve">is </w:t>
      </w:r>
      <w:r w:rsidR="00690565">
        <w:rPr>
          <w:szCs w:val="36"/>
        </w:rPr>
        <w:t>effort</w:t>
      </w:r>
      <w:r w:rsidR="00143E7A">
        <w:rPr>
          <w:szCs w:val="36"/>
        </w:rPr>
        <w:t>ful</w:t>
      </w:r>
      <w:r w:rsidR="00690565">
        <w:rPr>
          <w:szCs w:val="36"/>
        </w:rPr>
        <w:t xml:space="preserve"> and for some and it </w:t>
      </w:r>
      <w:r w:rsidR="007C0372">
        <w:rPr>
          <w:szCs w:val="36"/>
        </w:rPr>
        <w:t>can be difficult to achieve</w:t>
      </w:r>
      <w:r w:rsidR="00690565">
        <w:rPr>
          <w:szCs w:val="36"/>
        </w:rPr>
        <w:t xml:space="preserve"> or to maintain for long </w:t>
      </w:r>
      <w:r w:rsidR="004A5F5B">
        <w:rPr>
          <w:szCs w:val="36"/>
        </w:rPr>
        <w:t>periods</w:t>
      </w:r>
      <w:r w:rsidR="007C0372">
        <w:rPr>
          <w:szCs w:val="36"/>
        </w:rPr>
        <w:t xml:space="preserve">. </w:t>
      </w:r>
      <w:r w:rsidR="004A5F5B">
        <w:rPr>
          <w:szCs w:val="36"/>
        </w:rPr>
        <w:t>This type of attention is</w:t>
      </w:r>
      <w:r w:rsidR="00143E7A">
        <w:rPr>
          <w:szCs w:val="36"/>
        </w:rPr>
        <w:t xml:space="preserve"> </w:t>
      </w:r>
      <w:r w:rsidR="004A5F5B">
        <w:rPr>
          <w:szCs w:val="36"/>
        </w:rPr>
        <w:t xml:space="preserve">typically measured using vigilance tasks, whereby </w:t>
      </w:r>
      <w:r w:rsidR="003143D3">
        <w:rPr>
          <w:szCs w:val="36"/>
        </w:rPr>
        <w:t>people are</w:t>
      </w:r>
      <w:r w:rsidR="004A5F5B">
        <w:rPr>
          <w:szCs w:val="36"/>
        </w:rPr>
        <w:t xml:space="preserve"> asked to monitor their surroundings and respond to an infrequent occurrence. In general, sustained attention is not impaired with age.</w:t>
      </w:r>
    </w:p>
    <w:p w14:paraId="77DC38A1" w14:textId="77777777" w:rsidR="0084734A" w:rsidRDefault="007C0372" w:rsidP="004A5F5B">
      <w:pPr>
        <w:spacing w:line="480" w:lineRule="auto"/>
        <w:ind w:firstLine="720"/>
        <w:rPr>
          <w:szCs w:val="36"/>
        </w:rPr>
      </w:pPr>
      <w:r>
        <w:rPr>
          <w:szCs w:val="36"/>
        </w:rPr>
        <w:t>Selective attention</w:t>
      </w:r>
      <w:r w:rsidR="00690565">
        <w:rPr>
          <w:szCs w:val="36"/>
        </w:rPr>
        <w:t xml:space="preserve"> refers to s</w:t>
      </w:r>
      <w:r w:rsidR="00690565" w:rsidRPr="00945FD4">
        <w:rPr>
          <w:szCs w:val="36"/>
        </w:rPr>
        <w:t>electively concentrating on one aspect of the environment while ignoring other things</w:t>
      </w:r>
      <w:r w:rsidR="00690565">
        <w:rPr>
          <w:szCs w:val="36"/>
        </w:rPr>
        <w:t>.</w:t>
      </w:r>
      <w:r w:rsidR="00F644F4">
        <w:rPr>
          <w:szCs w:val="36"/>
        </w:rPr>
        <w:t xml:space="preserve"> Think about the items in your environment competing for your attention while you are at home, at school or at work. In addition, there will be thoughts and memories that creep into your consciousness, attempting to distract your attention away. We use our selective attention all day long as our brain </w:t>
      </w:r>
      <w:r w:rsidR="00F644F4" w:rsidRPr="00143E7A">
        <w:rPr>
          <w:szCs w:val="36"/>
        </w:rPr>
        <w:t>focus</w:t>
      </w:r>
      <w:r w:rsidR="00143E7A" w:rsidRPr="00143E7A">
        <w:rPr>
          <w:szCs w:val="36"/>
        </w:rPr>
        <w:t>es</w:t>
      </w:r>
      <w:r w:rsidR="00F644F4" w:rsidRPr="00143E7A">
        <w:rPr>
          <w:szCs w:val="36"/>
        </w:rPr>
        <w:t xml:space="preserve"> on</w:t>
      </w:r>
      <w:r w:rsidR="00F644F4">
        <w:rPr>
          <w:szCs w:val="36"/>
        </w:rPr>
        <w:t xml:space="preserve"> the most important aspects of our environment,</w:t>
      </w:r>
      <w:r w:rsidR="003143D3">
        <w:rPr>
          <w:szCs w:val="36"/>
        </w:rPr>
        <w:t xml:space="preserve"> while</w:t>
      </w:r>
      <w:r w:rsidR="00F644F4">
        <w:rPr>
          <w:szCs w:val="36"/>
        </w:rPr>
        <w:t xml:space="preserve"> disregarding everything else. </w:t>
      </w:r>
      <w:r w:rsidR="008A3F88">
        <w:rPr>
          <w:szCs w:val="36"/>
        </w:rPr>
        <w:t xml:space="preserve">One </w:t>
      </w:r>
      <w:r w:rsidR="00B21489">
        <w:rPr>
          <w:szCs w:val="36"/>
        </w:rPr>
        <w:t>well-used</w:t>
      </w:r>
      <w:r w:rsidR="008A3F88">
        <w:rPr>
          <w:szCs w:val="36"/>
        </w:rPr>
        <w:t xml:space="preserve"> </w:t>
      </w:r>
      <w:r w:rsidR="00972D55">
        <w:rPr>
          <w:szCs w:val="36"/>
        </w:rPr>
        <w:t xml:space="preserve">measure </w:t>
      </w:r>
      <w:r w:rsidR="008A3F88">
        <w:rPr>
          <w:szCs w:val="36"/>
        </w:rPr>
        <w:t xml:space="preserve">of selective attention </w:t>
      </w:r>
      <w:r w:rsidR="00972D55">
        <w:rPr>
          <w:szCs w:val="36"/>
        </w:rPr>
        <w:t>is visual search tasks. This method involves p</w:t>
      </w:r>
      <w:r w:rsidR="003143D3">
        <w:rPr>
          <w:szCs w:val="36"/>
        </w:rPr>
        <w:t>eople</w:t>
      </w:r>
      <w:r w:rsidR="00972D55">
        <w:rPr>
          <w:szCs w:val="36"/>
        </w:rPr>
        <w:t xml:space="preserve"> search</w:t>
      </w:r>
      <w:r w:rsidR="00B21489">
        <w:rPr>
          <w:szCs w:val="36"/>
        </w:rPr>
        <w:t>ing</w:t>
      </w:r>
      <w:r w:rsidR="00972D55">
        <w:rPr>
          <w:szCs w:val="36"/>
        </w:rPr>
        <w:t xml:space="preserve"> through a visual array for a target item (e.g. the letter P in an array of letter As). Note the task can be made more difficult by making the distractor items more similar to the target item </w:t>
      </w:r>
      <w:r w:rsidR="00972D55" w:rsidRPr="00972D55">
        <w:rPr>
          <w:szCs w:val="36"/>
        </w:rPr>
        <w:t xml:space="preserve">(e.g. the letter P in an array of letter </w:t>
      </w:r>
      <w:r w:rsidR="00972D55">
        <w:rPr>
          <w:szCs w:val="36"/>
        </w:rPr>
        <w:t>B</w:t>
      </w:r>
      <w:r w:rsidR="00972D55" w:rsidRPr="00972D55">
        <w:rPr>
          <w:szCs w:val="36"/>
        </w:rPr>
        <w:t>s)</w:t>
      </w:r>
      <w:r w:rsidR="00972D55">
        <w:rPr>
          <w:szCs w:val="36"/>
        </w:rPr>
        <w:t xml:space="preserve">. </w:t>
      </w:r>
      <w:r w:rsidR="002272D9">
        <w:rPr>
          <w:szCs w:val="36"/>
        </w:rPr>
        <w:t xml:space="preserve">Findings are somewhat mixed regarding the impact of age on selective attention. However, a consensus is that </w:t>
      </w:r>
      <w:r w:rsidR="00B21489">
        <w:rPr>
          <w:szCs w:val="36"/>
        </w:rPr>
        <w:t>older adults are slower at</w:t>
      </w:r>
      <w:r w:rsidR="002272D9">
        <w:rPr>
          <w:szCs w:val="36"/>
        </w:rPr>
        <w:t xml:space="preserve"> </w:t>
      </w:r>
      <w:r w:rsidR="002272D9">
        <w:rPr>
          <w:szCs w:val="36"/>
        </w:rPr>
        <w:lastRenderedPageBreak/>
        <w:t>identifying the target, but do not appear to be disproportionately impacted by distractor difficulty. This suggests that age affects underlying processing speed, but not selective attention per se.</w:t>
      </w:r>
    </w:p>
    <w:p w14:paraId="567566EE" w14:textId="77777777" w:rsidR="00E615A5" w:rsidRDefault="00E615A5" w:rsidP="004A5F5B">
      <w:pPr>
        <w:spacing w:line="480" w:lineRule="auto"/>
        <w:ind w:firstLine="720"/>
        <w:rPr>
          <w:szCs w:val="36"/>
        </w:rPr>
      </w:pPr>
      <w:r>
        <w:rPr>
          <w:szCs w:val="36"/>
        </w:rPr>
        <w:t>Alternating attention refers</w:t>
      </w:r>
      <w:r w:rsidR="00062AF3">
        <w:rPr>
          <w:szCs w:val="36"/>
        </w:rPr>
        <w:t xml:space="preserve"> to the ability to switch attention from one task to another, or </w:t>
      </w:r>
      <w:r w:rsidR="00143E7A">
        <w:rPr>
          <w:szCs w:val="36"/>
        </w:rPr>
        <w:t xml:space="preserve">to </w:t>
      </w:r>
      <w:r w:rsidR="00062AF3">
        <w:rPr>
          <w:szCs w:val="36"/>
        </w:rPr>
        <w:t>transfer your concentration from one activity to another</w:t>
      </w:r>
      <w:r w:rsidR="000A7549">
        <w:rPr>
          <w:szCs w:val="36"/>
        </w:rPr>
        <w:t xml:space="preserve"> (e.g. reading a recipe and preparing a meal)</w:t>
      </w:r>
      <w:r w:rsidR="00062AF3">
        <w:rPr>
          <w:szCs w:val="36"/>
        </w:rPr>
        <w:t>. Like selective attention, we use this type of attention all day long as we are constantly making sudden changes in our actions that require attentional shifts. In addition, this is a more effortful type of attention because it requires a constant change of mental set</w:t>
      </w:r>
      <w:r w:rsidR="00E907E4">
        <w:rPr>
          <w:szCs w:val="36"/>
        </w:rPr>
        <w:t xml:space="preserve"> (i.e. </w:t>
      </w:r>
      <w:r w:rsidR="00E907E4" w:rsidRPr="00E907E4">
        <w:rPr>
          <w:szCs w:val="36"/>
        </w:rPr>
        <w:t>mental flexibility</w:t>
      </w:r>
      <w:r w:rsidR="00E907E4">
        <w:rPr>
          <w:szCs w:val="36"/>
        </w:rPr>
        <w:t>)</w:t>
      </w:r>
      <w:r w:rsidR="00B21489">
        <w:rPr>
          <w:szCs w:val="36"/>
        </w:rPr>
        <w:t>. Alternating</w:t>
      </w:r>
      <w:r w:rsidR="004976D6">
        <w:rPr>
          <w:szCs w:val="36"/>
        </w:rPr>
        <w:t xml:space="preserve"> attention is measured by requiring people to do two separate tasks back and forth continuously </w:t>
      </w:r>
      <w:r w:rsidR="004976D6" w:rsidRPr="004976D6">
        <w:rPr>
          <w:szCs w:val="36"/>
        </w:rPr>
        <w:t xml:space="preserve">(e.g. monitor and respond to stimuli in two different visual arrays, or take part in a visual and auditory task </w:t>
      </w:r>
      <w:r w:rsidR="004976D6">
        <w:rPr>
          <w:szCs w:val="36"/>
        </w:rPr>
        <w:t>one after the other</w:t>
      </w:r>
      <w:r w:rsidR="004976D6" w:rsidRPr="004976D6">
        <w:rPr>
          <w:szCs w:val="36"/>
        </w:rPr>
        <w:t>)</w:t>
      </w:r>
      <w:r w:rsidR="004976D6">
        <w:rPr>
          <w:szCs w:val="36"/>
        </w:rPr>
        <w:t>.</w:t>
      </w:r>
      <w:r w:rsidR="0059335B">
        <w:rPr>
          <w:szCs w:val="36"/>
        </w:rPr>
        <w:t xml:space="preserve"> </w:t>
      </w:r>
      <w:r w:rsidR="00C92DB5" w:rsidRPr="00C92DB5">
        <w:rPr>
          <w:szCs w:val="36"/>
        </w:rPr>
        <w:t xml:space="preserve">Although older adults may perform one of these tasks at the same level as young adults, </w:t>
      </w:r>
      <w:r w:rsidR="00C92DB5">
        <w:rPr>
          <w:szCs w:val="36"/>
        </w:rPr>
        <w:t>performance on alternating attention tasks slows down in older adulthood.</w:t>
      </w:r>
    </w:p>
    <w:p w14:paraId="70FAAEC5" w14:textId="77777777" w:rsidR="00FF6EF9" w:rsidRDefault="00FF6EF9" w:rsidP="004A5F5B">
      <w:pPr>
        <w:spacing w:line="480" w:lineRule="auto"/>
        <w:ind w:firstLine="720"/>
        <w:rPr>
          <w:szCs w:val="36"/>
        </w:rPr>
      </w:pPr>
      <w:r>
        <w:rPr>
          <w:szCs w:val="36"/>
        </w:rPr>
        <w:t>Finally</w:t>
      </w:r>
      <w:r w:rsidR="00B21489">
        <w:rPr>
          <w:szCs w:val="36"/>
        </w:rPr>
        <w:t>,</w:t>
      </w:r>
      <w:r>
        <w:rPr>
          <w:szCs w:val="36"/>
        </w:rPr>
        <w:t xml:space="preserve"> divided attention </w:t>
      </w:r>
      <w:r w:rsidR="00B21489">
        <w:rPr>
          <w:szCs w:val="36"/>
        </w:rPr>
        <w:t>is the ability to pay attention to, and</w:t>
      </w:r>
      <w:r w:rsidR="00E907E4">
        <w:rPr>
          <w:szCs w:val="36"/>
        </w:rPr>
        <w:t xml:space="preserve"> / or</w:t>
      </w:r>
      <w:r w:rsidR="00B21489">
        <w:rPr>
          <w:szCs w:val="36"/>
        </w:rPr>
        <w:t xml:space="preserve"> respond to more than one task simultaneously</w:t>
      </w:r>
      <w:r w:rsidR="00E907E4">
        <w:rPr>
          <w:szCs w:val="36"/>
        </w:rPr>
        <w:t>.</w:t>
      </w:r>
      <w:r w:rsidR="00A565D0">
        <w:rPr>
          <w:szCs w:val="36"/>
        </w:rPr>
        <w:t xml:space="preserve"> </w:t>
      </w:r>
      <w:r w:rsidR="000A7549">
        <w:rPr>
          <w:szCs w:val="36"/>
        </w:rPr>
        <w:t xml:space="preserve">Thus, unlike alternating attention, when you are switching attentional focus back and forth between tasks, using your divided attention means you attempt to do both tasks at once. </w:t>
      </w:r>
      <w:r w:rsidR="00A565D0">
        <w:rPr>
          <w:szCs w:val="36"/>
        </w:rPr>
        <w:t>An example could be talking on the phone while shopping online</w:t>
      </w:r>
      <w:r w:rsidR="00986B5D">
        <w:rPr>
          <w:szCs w:val="36"/>
        </w:rPr>
        <w:t xml:space="preserve"> (often referred to as </w:t>
      </w:r>
      <w:r w:rsidR="000A7549">
        <w:rPr>
          <w:szCs w:val="36"/>
        </w:rPr>
        <w:t>multi</w:t>
      </w:r>
      <w:r w:rsidR="00986B5D">
        <w:rPr>
          <w:szCs w:val="36"/>
        </w:rPr>
        <w:t>-tasking)</w:t>
      </w:r>
      <w:r w:rsidR="00A565D0">
        <w:rPr>
          <w:szCs w:val="36"/>
        </w:rPr>
        <w:t>.</w:t>
      </w:r>
      <w:r w:rsidR="00E907E4">
        <w:rPr>
          <w:szCs w:val="36"/>
        </w:rPr>
        <w:t xml:space="preserve"> </w:t>
      </w:r>
      <w:r w:rsidR="004976D6">
        <w:rPr>
          <w:szCs w:val="36"/>
        </w:rPr>
        <w:t>Measuring t</w:t>
      </w:r>
      <w:r w:rsidR="00E907E4">
        <w:rPr>
          <w:szCs w:val="36"/>
        </w:rPr>
        <w:t>his type of attention is</w:t>
      </w:r>
      <w:r w:rsidR="004976D6">
        <w:rPr>
          <w:szCs w:val="36"/>
        </w:rPr>
        <w:t xml:space="preserve"> similar to measuring alternating attention, except that </w:t>
      </w:r>
      <w:r w:rsidR="00FA6F13">
        <w:rPr>
          <w:szCs w:val="36"/>
        </w:rPr>
        <w:t xml:space="preserve">people </w:t>
      </w:r>
      <w:r w:rsidR="004976D6">
        <w:rPr>
          <w:szCs w:val="36"/>
        </w:rPr>
        <w:t xml:space="preserve">are required </w:t>
      </w:r>
      <w:r w:rsidR="00FA6F13">
        <w:rPr>
          <w:szCs w:val="36"/>
        </w:rPr>
        <w:t xml:space="preserve">to do </w:t>
      </w:r>
      <w:r w:rsidR="004976D6">
        <w:rPr>
          <w:szCs w:val="36"/>
        </w:rPr>
        <w:t>both tasks</w:t>
      </w:r>
      <w:r w:rsidR="00FA6F13">
        <w:rPr>
          <w:szCs w:val="36"/>
        </w:rPr>
        <w:t xml:space="preserve"> at once. </w:t>
      </w:r>
      <w:r w:rsidR="003143D3">
        <w:rPr>
          <w:szCs w:val="36"/>
        </w:rPr>
        <w:t>With this type of ‘dual task’</w:t>
      </w:r>
      <w:r w:rsidR="007C6A1F">
        <w:rPr>
          <w:szCs w:val="36"/>
        </w:rPr>
        <w:t>, there are significant declines with age, especially when the attentional demands of both tasks are high.</w:t>
      </w:r>
      <w:r w:rsidR="00671CA5">
        <w:rPr>
          <w:szCs w:val="36"/>
        </w:rPr>
        <w:t xml:space="preserve"> This slowing in performance in old age cannot be accounted for by underlying processing speed, and is believed to reflect a decline in processing resources with aging.</w:t>
      </w:r>
    </w:p>
    <w:p w14:paraId="5C0FB480" w14:textId="77777777" w:rsidR="00FC4EB5" w:rsidRPr="005A0C43" w:rsidRDefault="00FC4EB5" w:rsidP="0084734A">
      <w:pPr>
        <w:rPr>
          <w:szCs w:val="36"/>
        </w:rPr>
      </w:pPr>
    </w:p>
    <w:p w14:paraId="618C72EE" w14:textId="77777777" w:rsidR="00C94351" w:rsidRPr="005A0C43" w:rsidRDefault="00C94351" w:rsidP="0084734A">
      <w:pPr>
        <w:rPr>
          <w:szCs w:val="36"/>
        </w:rPr>
      </w:pPr>
      <w:r w:rsidRPr="005A0C43">
        <w:rPr>
          <w:szCs w:val="36"/>
        </w:rPr>
        <w:t>Further reading</w:t>
      </w:r>
      <w:r w:rsidR="00F4142B" w:rsidRPr="005A0C43">
        <w:rPr>
          <w:szCs w:val="36"/>
        </w:rPr>
        <w:t>:</w:t>
      </w:r>
    </w:p>
    <w:p w14:paraId="64220BE5" w14:textId="77777777" w:rsidR="00F4142B" w:rsidRPr="005A0C43" w:rsidRDefault="00F4142B" w:rsidP="0084734A">
      <w:pPr>
        <w:rPr>
          <w:szCs w:val="36"/>
        </w:rPr>
      </w:pPr>
    </w:p>
    <w:p w14:paraId="092F3E90" w14:textId="77777777" w:rsidR="006A36EE" w:rsidRDefault="0095550B" w:rsidP="0084734A">
      <w:pPr>
        <w:rPr>
          <w:bCs/>
          <w:i/>
          <w:iCs/>
          <w:shd w:val="clear" w:color="auto" w:fill="FFFFFF"/>
        </w:rPr>
      </w:pPr>
      <w:r>
        <w:rPr>
          <w:rStyle w:val="Strong"/>
          <w:b w:val="0"/>
          <w:iCs/>
          <w:shd w:val="clear" w:color="auto" w:fill="FFFFFF"/>
        </w:rPr>
        <w:t xml:space="preserve">Glisky, E.L. (2007). </w:t>
      </w:r>
      <w:r w:rsidRPr="0095550B">
        <w:rPr>
          <w:rStyle w:val="Strong"/>
          <w:b w:val="0"/>
          <w:iCs/>
          <w:shd w:val="clear" w:color="auto" w:fill="FFFFFF"/>
        </w:rPr>
        <w:t>Changes in cognitive function in human aging</w:t>
      </w:r>
      <w:r>
        <w:rPr>
          <w:rStyle w:val="Strong"/>
          <w:b w:val="0"/>
          <w:iCs/>
          <w:shd w:val="clear" w:color="auto" w:fill="FFFFFF"/>
        </w:rPr>
        <w:t xml:space="preserve">. </w:t>
      </w:r>
      <w:r w:rsidRPr="0095550B">
        <w:rPr>
          <w:bCs/>
          <w:iCs/>
          <w:shd w:val="clear" w:color="auto" w:fill="FFFFFF"/>
        </w:rPr>
        <w:t xml:space="preserve">In D.R. Riddle (Ed.) </w:t>
      </w:r>
      <w:r w:rsidRPr="0095550B">
        <w:rPr>
          <w:bCs/>
          <w:i/>
          <w:iCs/>
          <w:shd w:val="clear" w:color="auto" w:fill="FFFFFF"/>
        </w:rPr>
        <w:t xml:space="preserve">Brain aging: Models, </w:t>
      </w:r>
    </w:p>
    <w:p w14:paraId="747FE324" w14:textId="77777777" w:rsidR="0095550B" w:rsidRDefault="0095550B" w:rsidP="006A36EE">
      <w:pPr>
        <w:ind w:firstLine="720"/>
        <w:rPr>
          <w:rStyle w:val="Strong"/>
          <w:b w:val="0"/>
          <w:iCs/>
          <w:shd w:val="clear" w:color="auto" w:fill="FFFFFF"/>
        </w:rPr>
      </w:pPr>
      <w:r w:rsidRPr="0095550B">
        <w:rPr>
          <w:bCs/>
          <w:i/>
          <w:iCs/>
          <w:shd w:val="clear" w:color="auto" w:fill="FFFFFF"/>
        </w:rPr>
        <w:t>methods, and mechanisms</w:t>
      </w:r>
      <w:r>
        <w:rPr>
          <w:bCs/>
          <w:iCs/>
          <w:shd w:val="clear" w:color="auto" w:fill="FFFFFF"/>
        </w:rPr>
        <w:t xml:space="preserve"> (pp. </w:t>
      </w:r>
      <w:r w:rsidRPr="0095550B">
        <w:rPr>
          <w:bCs/>
          <w:iCs/>
          <w:shd w:val="clear" w:color="auto" w:fill="FFFFFF"/>
        </w:rPr>
        <w:t>3-20</w:t>
      </w:r>
      <w:r>
        <w:rPr>
          <w:bCs/>
          <w:iCs/>
          <w:shd w:val="clear" w:color="auto" w:fill="FFFFFF"/>
        </w:rPr>
        <w:t>). Taylor and Francis Group: Boca Raton, FL.</w:t>
      </w:r>
    </w:p>
    <w:p w14:paraId="6939CB32" w14:textId="77777777" w:rsidR="00F4142B" w:rsidRPr="005A0C43" w:rsidRDefault="00F4142B" w:rsidP="0084734A">
      <w:pPr>
        <w:rPr>
          <w:shd w:val="clear" w:color="auto" w:fill="FFFFFF"/>
        </w:rPr>
      </w:pPr>
    </w:p>
    <w:p w14:paraId="69352563" w14:textId="77777777" w:rsidR="00614B32" w:rsidRDefault="006A36EE" w:rsidP="0031783F">
      <w:pPr>
        <w:tabs>
          <w:tab w:val="left" w:pos="6630"/>
        </w:tabs>
        <w:autoSpaceDE w:val="0"/>
        <w:autoSpaceDN w:val="0"/>
        <w:adjustRightInd w:val="0"/>
      </w:pPr>
      <w:r w:rsidRPr="006A36EE">
        <w:t>McDowd</w:t>
      </w:r>
      <w:r>
        <w:t>,</w:t>
      </w:r>
      <w:r w:rsidRPr="006A36EE">
        <w:t xml:space="preserve"> J</w:t>
      </w:r>
      <w:r>
        <w:t>.</w:t>
      </w:r>
      <w:r w:rsidRPr="006A36EE">
        <w:t>M</w:t>
      </w:r>
      <w:r>
        <w:t>.</w:t>
      </w:r>
      <w:r w:rsidRPr="006A36EE">
        <w:t xml:space="preserve">, </w:t>
      </w:r>
      <w:r>
        <w:t xml:space="preserve">&amp; </w:t>
      </w:r>
      <w:r w:rsidRPr="006A36EE">
        <w:t>Shaw</w:t>
      </w:r>
      <w:r>
        <w:t>,</w:t>
      </w:r>
      <w:r w:rsidRPr="006A36EE">
        <w:t xml:space="preserve"> R</w:t>
      </w:r>
      <w:r>
        <w:t>.</w:t>
      </w:r>
      <w:r w:rsidRPr="006A36EE">
        <w:t xml:space="preserve">J. </w:t>
      </w:r>
      <w:r>
        <w:t xml:space="preserve">(2000). </w:t>
      </w:r>
      <w:r w:rsidRPr="006A36EE">
        <w:t xml:space="preserve">Attention and aging: </w:t>
      </w:r>
      <w:r>
        <w:t>A</w:t>
      </w:r>
      <w:r w:rsidRPr="006A36EE">
        <w:t xml:space="preserve"> functional perspective. In</w:t>
      </w:r>
      <w:r>
        <w:t xml:space="preserve"> F.I.M.</w:t>
      </w:r>
      <w:r w:rsidRPr="006A36EE">
        <w:t xml:space="preserve"> Craik </w:t>
      </w:r>
      <w:r>
        <w:t>&amp; T.A.</w:t>
      </w:r>
      <w:r w:rsidRPr="006A36EE">
        <w:t xml:space="preserve"> </w:t>
      </w:r>
    </w:p>
    <w:p w14:paraId="36E83A35" w14:textId="77777777" w:rsidR="00614B32" w:rsidRDefault="00614B32" w:rsidP="00614B32">
      <w:pPr>
        <w:tabs>
          <w:tab w:val="left" w:pos="720"/>
        </w:tabs>
        <w:autoSpaceDE w:val="0"/>
        <w:autoSpaceDN w:val="0"/>
        <w:adjustRightInd w:val="0"/>
      </w:pPr>
      <w:r>
        <w:tab/>
      </w:r>
      <w:r w:rsidR="006A36EE" w:rsidRPr="006A36EE">
        <w:t>Salthouse</w:t>
      </w:r>
      <w:r w:rsidR="006A36EE">
        <w:t xml:space="preserve"> (Eds.)</w:t>
      </w:r>
      <w:r w:rsidR="006A36EE" w:rsidRPr="006A36EE">
        <w:t> </w:t>
      </w:r>
      <w:r w:rsidR="006A36EE" w:rsidRPr="006A36EE">
        <w:rPr>
          <w:i/>
        </w:rPr>
        <w:t xml:space="preserve">The </w:t>
      </w:r>
      <w:r w:rsidR="006A36EE">
        <w:rPr>
          <w:i/>
        </w:rPr>
        <w:t>h</w:t>
      </w:r>
      <w:r w:rsidR="006A36EE" w:rsidRPr="006A36EE">
        <w:rPr>
          <w:i/>
        </w:rPr>
        <w:t xml:space="preserve">andbook of </w:t>
      </w:r>
      <w:r w:rsidR="006A36EE">
        <w:rPr>
          <w:i/>
        </w:rPr>
        <w:t>a</w:t>
      </w:r>
      <w:r w:rsidR="006A36EE" w:rsidRPr="006A36EE">
        <w:rPr>
          <w:i/>
        </w:rPr>
        <w:t xml:space="preserve">ging and </w:t>
      </w:r>
      <w:r w:rsidR="006A36EE">
        <w:rPr>
          <w:i/>
        </w:rPr>
        <w:t>c</w:t>
      </w:r>
      <w:r w:rsidR="006A36EE" w:rsidRPr="006A36EE">
        <w:rPr>
          <w:i/>
        </w:rPr>
        <w:t>ognition</w:t>
      </w:r>
      <w:r w:rsidR="006A36EE" w:rsidRPr="006A36EE">
        <w:t> </w:t>
      </w:r>
      <w:r>
        <w:t>(</w:t>
      </w:r>
      <w:r w:rsidRPr="00614B32">
        <w:t xml:space="preserve">2nd ed., </w:t>
      </w:r>
      <w:r>
        <w:t>pp. 221-292)</w:t>
      </w:r>
      <w:r w:rsidR="006A36EE" w:rsidRPr="006A36EE">
        <w:t xml:space="preserve">. </w:t>
      </w:r>
      <w:r w:rsidRPr="00614B32">
        <w:t xml:space="preserve">Lawrence Erlbaum </w:t>
      </w:r>
    </w:p>
    <w:p w14:paraId="060DC4AC" w14:textId="77777777" w:rsidR="006A36EE" w:rsidRDefault="00614B32" w:rsidP="00614B32">
      <w:pPr>
        <w:tabs>
          <w:tab w:val="left" w:pos="720"/>
        </w:tabs>
        <w:autoSpaceDE w:val="0"/>
        <w:autoSpaceDN w:val="0"/>
        <w:adjustRightInd w:val="0"/>
      </w:pPr>
      <w:r>
        <w:tab/>
      </w:r>
      <w:r w:rsidRPr="00614B32">
        <w:t>Associates Publishers</w:t>
      </w:r>
      <w:r>
        <w:t>:</w:t>
      </w:r>
      <w:r w:rsidR="006A36EE" w:rsidRPr="006A36EE">
        <w:t xml:space="preserve"> Mahwah, NJ. </w:t>
      </w:r>
    </w:p>
    <w:p w14:paraId="593E9D8D" w14:textId="77777777" w:rsidR="006A36EE" w:rsidRDefault="006A36EE" w:rsidP="0031783F">
      <w:pPr>
        <w:tabs>
          <w:tab w:val="left" w:pos="6630"/>
        </w:tabs>
        <w:autoSpaceDE w:val="0"/>
        <w:autoSpaceDN w:val="0"/>
        <w:adjustRightInd w:val="0"/>
      </w:pPr>
    </w:p>
    <w:p w14:paraId="522F045C" w14:textId="77777777" w:rsidR="00E974BF" w:rsidRDefault="00E974BF" w:rsidP="00E974BF">
      <w:pPr>
        <w:tabs>
          <w:tab w:val="left" w:pos="6630"/>
        </w:tabs>
        <w:autoSpaceDE w:val="0"/>
        <w:autoSpaceDN w:val="0"/>
        <w:adjustRightInd w:val="0"/>
      </w:pPr>
      <w:r w:rsidRPr="00E974BF">
        <w:t xml:space="preserve">Milhama, </w:t>
      </w:r>
      <w:r>
        <w:t xml:space="preserve">M.P., </w:t>
      </w:r>
      <w:r w:rsidRPr="00E974BF">
        <w:t xml:space="preserve">Ericksona, </w:t>
      </w:r>
      <w:r>
        <w:t xml:space="preserve">K.I., </w:t>
      </w:r>
      <w:r w:rsidRPr="00E974BF">
        <w:t xml:space="preserve">Banichb, </w:t>
      </w:r>
      <w:r>
        <w:t xml:space="preserve">M.T., </w:t>
      </w:r>
      <w:r w:rsidRPr="00E974BF">
        <w:t>Kramera,</w:t>
      </w:r>
      <w:r>
        <w:t xml:space="preserve"> A.F., </w:t>
      </w:r>
      <w:r w:rsidRPr="00E974BF">
        <w:t>Webba,</w:t>
      </w:r>
      <w:r>
        <w:t xml:space="preserve"> A., </w:t>
      </w:r>
      <w:r w:rsidRPr="00E974BF">
        <w:t xml:space="preserve">Wszaleka, </w:t>
      </w:r>
      <w:r>
        <w:t>T., &amp;</w:t>
      </w:r>
      <w:r w:rsidRPr="00E974BF">
        <w:t xml:space="preserve"> Cohena</w:t>
      </w:r>
      <w:r>
        <w:t xml:space="preserve">, N.J. </w:t>
      </w:r>
    </w:p>
    <w:p w14:paraId="70C72AF7" w14:textId="77777777" w:rsidR="00E974BF" w:rsidRDefault="00E974BF" w:rsidP="00E974BF">
      <w:pPr>
        <w:autoSpaceDE w:val="0"/>
        <w:autoSpaceDN w:val="0"/>
        <w:adjustRightInd w:val="0"/>
        <w:rPr>
          <w:i/>
        </w:rPr>
      </w:pPr>
      <w:r>
        <w:tab/>
        <w:t>(2002).</w:t>
      </w:r>
      <w:r w:rsidRPr="00E974BF">
        <w:t xml:space="preserve"> </w:t>
      </w:r>
      <w:r>
        <w:t>Attentional co</w:t>
      </w:r>
      <w:r w:rsidRPr="00E974BF">
        <w:t xml:space="preserve">ntrol in the </w:t>
      </w:r>
      <w:r>
        <w:t>aging brain: Insights from an fMRI study of the Stroop t</w:t>
      </w:r>
      <w:r w:rsidRPr="00E974BF">
        <w:t>ask</w:t>
      </w:r>
      <w:r>
        <w:t xml:space="preserve">. </w:t>
      </w:r>
      <w:r w:rsidRPr="00E974BF">
        <w:rPr>
          <w:i/>
        </w:rPr>
        <w:t xml:space="preserve">Brain and </w:t>
      </w:r>
    </w:p>
    <w:p w14:paraId="23C83500" w14:textId="77777777" w:rsidR="00E974BF" w:rsidRPr="00E974BF" w:rsidRDefault="00E974BF" w:rsidP="00E974BF">
      <w:pPr>
        <w:autoSpaceDE w:val="0"/>
        <w:autoSpaceDN w:val="0"/>
        <w:adjustRightInd w:val="0"/>
      </w:pPr>
      <w:r>
        <w:rPr>
          <w:i/>
        </w:rPr>
        <w:tab/>
      </w:r>
      <w:r w:rsidRPr="00E974BF">
        <w:rPr>
          <w:i/>
        </w:rPr>
        <w:t xml:space="preserve">Cognition, 49, </w:t>
      </w:r>
      <w:r w:rsidRPr="00E974BF">
        <w:t>277–296</w:t>
      </w:r>
      <w:r>
        <w:t>.</w:t>
      </w:r>
    </w:p>
    <w:p w14:paraId="52A610CC" w14:textId="77777777" w:rsidR="006A36EE" w:rsidRDefault="006A36EE" w:rsidP="0031783F">
      <w:pPr>
        <w:tabs>
          <w:tab w:val="left" w:pos="6630"/>
        </w:tabs>
        <w:autoSpaceDE w:val="0"/>
        <w:autoSpaceDN w:val="0"/>
        <w:adjustRightInd w:val="0"/>
      </w:pPr>
    </w:p>
    <w:p w14:paraId="47DF4D1B" w14:textId="77777777" w:rsidR="000577ED" w:rsidRDefault="00E974BF" w:rsidP="0031783F">
      <w:pPr>
        <w:tabs>
          <w:tab w:val="left" w:pos="6630"/>
        </w:tabs>
        <w:autoSpaceDE w:val="0"/>
        <w:autoSpaceDN w:val="0"/>
        <w:adjustRightInd w:val="0"/>
      </w:pPr>
      <w:r w:rsidRPr="00E974BF">
        <w:lastRenderedPageBreak/>
        <w:t>Sylvain-Roy</w:t>
      </w:r>
      <w:r>
        <w:t>, S.,</w:t>
      </w:r>
      <w:r w:rsidRPr="00E974BF">
        <w:t xml:space="preserve"> Lungu</w:t>
      </w:r>
      <w:r>
        <w:t xml:space="preserve">, O., &amp; </w:t>
      </w:r>
      <w:r w:rsidRPr="00E974BF">
        <w:t>Belleville</w:t>
      </w:r>
      <w:r>
        <w:t xml:space="preserve">, S. (2015). </w:t>
      </w:r>
      <w:r w:rsidRPr="00E974BF">
        <w:t xml:space="preserve">Normal </w:t>
      </w:r>
      <w:r>
        <w:t>a</w:t>
      </w:r>
      <w:r w:rsidRPr="00E974BF">
        <w:t xml:space="preserve">ging of the </w:t>
      </w:r>
      <w:r>
        <w:t>a</w:t>
      </w:r>
      <w:r w:rsidRPr="00E974BF">
        <w:t xml:space="preserve">ttentional </w:t>
      </w:r>
      <w:r>
        <w:t>control f</w:t>
      </w:r>
      <w:r w:rsidRPr="00E974BF">
        <w:t xml:space="preserve">unctions </w:t>
      </w:r>
      <w:r>
        <w:t>t</w:t>
      </w:r>
      <w:r w:rsidRPr="00E974BF">
        <w:t xml:space="preserve">hat </w:t>
      </w:r>
    </w:p>
    <w:p w14:paraId="5C9DED55" w14:textId="77777777" w:rsidR="000577ED" w:rsidRDefault="000577ED" w:rsidP="000577ED">
      <w:pPr>
        <w:tabs>
          <w:tab w:val="left" w:pos="720"/>
        </w:tabs>
        <w:autoSpaceDE w:val="0"/>
        <w:autoSpaceDN w:val="0"/>
        <w:adjustRightInd w:val="0"/>
        <w:rPr>
          <w:i/>
        </w:rPr>
      </w:pPr>
      <w:r>
        <w:tab/>
      </w:r>
      <w:r w:rsidR="00E974BF">
        <w:t>underlie working m</w:t>
      </w:r>
      <w:r w:rsidR="00E974BF" w:rsidRPr="00E974BF">
        <w:t>emory</w:t>
      </w:r>
      <w:r w:rsidR="00E974BF">
        <w:t xml:space="preserve">. </w:t>
      </w:r>
      <w:r w:rsidRPr="000577ED">
        <w:rPr>
          <w:i/>
        </w:rPr>
        <w:t xml:space="preserve">The Journals of Gerontology. Series B, Psychological Sciences and Social </w:t>
      </w:r>
    </w:p>
    <w:p w14:paraId="31A6BEA1" w14:textId="77777777" w:rsidR="006A36EE" w:rsidRDefault="000577ED" w:rsidP="000577ED">
      <w:pPr>
        <w:tabs>
          <w:tab w:val="left" w:pos="720"/>
        </w:tabs>
        <w:autoSpaceDE w:val="0"/>
        <w:autoSpaceDN w:val="0"/>
        <w:adjustRightInd w:val="0"/>
      </w:pPr>
      <w:r>
        <w:rPr>
          <w:i/>
        </w:rPr>
        <w:tab/>
      </w:r>
      <w:r w:rsidRPr="000577ED">
        <w:rPr>
          <w:i/>
        </w:rPr>
        <w:t>Sciences</w:t>
      </w:r>
      <w:r>
        <w:rPr>
          <w:i/>
        </w:rPr>
        <w:t>,</w:t>
      </w:r>
      <w:r w:rsidRPr="000577ED">
        <w:rPr>
          <w:i/>
        </w:rPr>
        <w:t xml:space="preserve"> </w:t>
      </w:r>
      <w:r w:rsidR="00E974BF" w:rsidRPr="000577ED">
        <w:rPr>
          <w:i/>
        </w:rPr>
        <w:t>70</w:t>
      </w:r>
      <w:r>
        <w:rPr>
          <w:i/>
        </w:rPr>
        <w:t>,</w:t>
      </w:r>
      <w:r w:rsidR="00E974BF" w:rsidRPr="00E974BF">
        <w:t xml:space="preserve"> 698-708.</w:t>
      </w:r>
    </w:p>
    <w:p w14:paraId="64EBFDC7" w14:textId="77777777" w:rsidR="006A36EE" w:rsidRDefault="006A36EE" w:rsidP="0031783F">
      <w:pPr>
        <w:tabs>
          <w:tab w:val="left" w:pos="6630"/>
        </w:tabs>
        <w:autoSpaceDE w:val="0"/>
        <w:autoSpaceDN w:val="0"/>
        <w:adjustRightInd w:val="0"/>
      </w:pPr>
    </w:p>
    <w:sectPr w:rsidR="006A36EE" w:rsidSect="005C279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29E3" w14:textId="77777777" w:rsidR="003906C7" w:rsidRDefault="003906C7" w:rsidP="005C2792">
      <w:r>
        <w:separator/>
      </w:r>
    </w:p>
  </w:endnote>
  <w:endnote w:type="continuationSeparator" w:id="0">
    <w:p w14:paraId="3C6D1DCF" w14:textId="77777777" w:rsidR="003906C7" w:rsidRDefault="003906C7" w:rsidP="005C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D64AA" w14:textId="77777777" w:rsidR="003906C7" w:rsidRDefault="003906C7" w:rsidP="005C2792">
      <w:r>
        <w:separator/>
      </w:r>
    </w:p>
  </w:footnote>
  <w:footnote w:type="continuationSeparator" w:id="0">
    <w:p w14:paraId="579CA74B" w14:textId="77777777" w:rsidR="003906C7" w:rsidRDefault="003906C7" w:rsidP="005C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4EDC" w14:textId="77777777" w:rsidR="005C2792" w:rsidRDefault="005C2792">
    <w:pPr>
      <w:pStyle w:val="Header"/>
    </w:pPr>
  </w:p>
  <w:p w14:paraId="7A89207D" w14:textId="77777777" w:rsidR="005C2792" w:rsidRDefault="005C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E189D"/>
    <w:multiLevelType w:val="hybridMultilevel"/>
    <w:tmpl w:val="8B0CDEB0"/>
    <w:lvl w:ilvl="0" w:tplc="92EE5C2E">
      <w:start w:val="1"/>
      <w:numFmt w:val="decimal"/>
      <w:lvlText w:val="%1."/>
      <w:lvlJc w:val="left"/>
      <w:pPr>
        <w:tabs>
          <w:tab w:val="num" w:pos="810"/>
        </w:tabs>
        <w:ind w:left="810" w:hanging="45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E14B3E"/>
    <w:multiLevelType w:val="hybridMultilevel"/>
    <w:tmpl w:val="A18CE148"/>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2003"/>
        </w:tabs>
        <w:ind w:left="2003" w:hanging="360"/>
      </w:pPr>
    </w:lvl>
    <w:lvl w:ilvl="2" w:tplc="0409001B" w:tentative="1">
      <w:start w:val="1"/>
      <w:numFmt w:val="lowerRoman"/>
      <w:lvlText w:val="%3."/>
      <w:lvlJc w:val="right"/>
      <w:pPr>
        <w:tabs>
          <w:tab w:val="num" w:pos="2723"/>
        </w:tabs>
        <w:ind w:left="2723" w:hanging="180"/>
      </w:pPr>
    </w:lvl>
    <w:lvl w:ilvl="3" w:tplc="0409000F" w:tentative="1">
      <w:start w:val="1"/>
      <w:numFmt w:val="decimal"/>
      <w:lvlText w:val="%4."/>
      <w:lvlJc w:val="left"/>
      <w:pPr>
        <w:tabs>
          <w:tab w:val="num" w:pos="3443"/>
        </w:tabs>
        <w:ind w:left="3443" w:hanging="360"/>
      </w:pPr>
    </w:lvl>
    <w:lvl w:ilvl="4" w:tplc="04090019" w:tentative="1">
      <w:start w:val="1"/>
      <w:numFmt w:val="lowerLetter"/>
      <w:lvlText w:val="%5."/>
      <w:lvlJc w:val="left"/>
      <w:pPr>
        <w:tabs>
          <w:tab w:val="num" w:pos="4163"/>
        </w:tabs>
        <w:ind w:left="4163" w:hanging="360"/>
      </w:pPr>
    </w:lvl>
    <w:lvl w:ilvl="5" w:tplc="0409001B" w:tentative="1">
      <w:start w:val="1"/>
      <w:numFmt w:val="lowerRoman"/>
      <w:lvlText w:val="%6."/>
      <w:lvlJc w:val="right"/>
      <w:pPr>
        <w:tabs>
          <w:tab w:val="num" w:pos="4883"/>
        </w:tabs>
        <w:ind w:left="4883" w:hanging="180"/>
      </w:pPr>
    </w:lvl>
    <w:lvl w:ilvl="6" w:tplc="0409000F" w:tentative="1">
      <w:start w:val="1"/>
      <w:numFmt w:val="decimal"/>
      <w:lvlText w:val="%7."/>
      <w:lvlJc w:val="left"/>
      <w:pPr>
        <w:tabs>
          <w:tab w:val="num" w:pos="5603"/>
        </w:tabs>
        <w:ind w:left="5603" w:hanging="360"/>
      </w:pPr>
    </w:lvl>
    <w:lvl w:ilvl="7" w:tplc="04090019" w:tentative="1">
      <w:start w:val="1"/>
      <w:numFmt w:val="lowerLetter"/>
      <w:lvlText w:val="%8."/>
      <w:lvlJc w:val="left"/>
      <w:pPr>
        <w:tabs>
          <w:tab w:val="num" w:pos="6323"/>
        </w:tabs>
        <w:ind w:left="6323" w:hanging="360"/>
      </w:pPr>
    </w:lvl>
    <w:lvl w:ilvl="8" w:tplc="0409001B" w:tentative="1">
      <w:start w:val="1"/>
      <w:numFmt w:val="lowerRoman"/>
      <w:lvlText w:val="%9."/>
      <w:lvlJc w:val="right"/>
      <w:pPr>
        <w:tabs>
          <w:tab w:val="num" w:pos="7043"/>
        </w:tabs>
        <w:ind w:left="704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50"/>
    <w:rsid w:val="00005ADD"/>
    <w:rsid w:val="00016FF1"/>
    <w:rsid w:val="0002586E"/>
    <w:rsid w:val="00051D47"/>
    <w:rsid w:val="000577ED"/>
    <w:rsid w:val="00062AF3"/>
    <w:rsid w:val="000840E7"/>
    <w:rsid w:val="000911A7"/>
    <w:rsid w:val="000A0C8D"/>
    <w:rsid w:val="000A7549"/>
    <w:rsid w:val="000B6E4A"/>
    <w:rsid w:val="000B7DB4"/>
    <w:rsid w:val="000D3727"/>
    <w:rsid w:val="000E1691"/>
    <w:rsid w:val="000F1720"/>
    <w:rsid w:val="000F1FC3"/>
    <w:rsid w:val="000F3945"/>
    <w:rsid w:val="00103E9A"/>
    <w:rsid w:val="0010747F"/>
    <w:rsid w:val="0011433C"/>
    <w:rsid w:val="00123FC4"/>
    <w:rsid w:val="00135273"/>
    <w:rsid w:val="00143E7A"/>
    <w:rsid w:val="00144932"/>
    <w:rsid w:val="001547B3"/>
    <w:rsid w:val="00163697"/>
    <w:rsid w:val="00174FB0"/>
    <w:rsid w:val="001760CF"/>
    <w:rsid w:val="0017795D"/>
    <w:rsid w:val="00185AFE"/>
    <w:rsid w:val="001A05E7"/>
    <w:rsid w:val="001A3598"/>
    <w:rsid w:val="001A65E4"/>
    <w:rsid w:val="001B2F2F"/>
    <w:rsid w:val="001E3D37"/>
    <w:rsid w:val="001E69FC"/>
    <w:rsid w:val="001F12F9"/>
    <w:rsid w:val="00226DA1"/>
    <w:rsid w:val="002272D9"/>
    <w:rsid w:val="0024080E"/>
    <w:rsid w:val="0024434C"/>
    <w:rsid w:val="002447BA"/>
    <w:rsid w:val="0024580A"/>
    <w:rsid w:val="002545EC"/>
    <w:rsid w:val="00274FDE"/>
    <w:rsid w:val="00283E29"/>
    <w:rsid w:val="00285D85"/>
    <w:rsid w:val="00286A41"/>
    <w:rsid w:val="002C097B"/>
    <w:rsid w:val="002C3FB0"/>
    <w:rsid w:val="002C5816"/>
    <w:rsid w:val="002D3C83"/>
    <w:rsid w:val="002D3E8F"/>
    <w:rsid w:val="002D47C1"/>
    <w:rsid w:val="002F7D33"/>
    <w:rsid w:val="00302BED"/>
    <w:rsid w:val="003143D3"/>
    <w:rsid w:val="00314465"/>
    <w:rsid w:val="0031487E"/>
    <w:rsid w:val="0031783F"/>
    <w:rsid w:val="0032674E"/>
    <w:rsid w:val="003403AF"/>
    <w:rsid w:val="00345570"/>
    <w:rsid w:val="0034703B"/>
    <w:rsid w:val="00353C3A"/>
    <w:rsid w:val="00360384"/>
    <w:rsid w:val="00385F93"/>
    <w:rsid w:val="00387FD9"/>
    <w:rsid w:val="003906C7"/>
    <w:rsid w:val="00390764"/>
    <w:rsid w:val="00393C83"/>
    <w:rsid w:val="003C2924"/>
    <w:rsid w:val="003D428E"/>
    <w:rsid w:val="00405F37"/>
    <w:rsid w:val="00420A91"/>
    <w:rsid w:val="00431A27"/>
    <w:rsid w:val="004325C3"/>
    <w:rsid w:val="00433885"/>
    <w:rsid w:val="0043632F"/>
    <w:rsid w:val="0044623E"/>
    <w:rsid w:val="004617C3"/>
    <w:rsid w:val="00473F07"/>
    <w:rsid w:val="004804F0"/>
    <w:rsid w:val="00490D9F"/>
    <w:rsid w:val="004976D6"/>
    <w:rsid w:val="004A5F5B"/>
    <w:rsid w:val="004A6BE0"/>
    <w:rsid w:val="004B6928"/>
    <w:rsid w:val="004C0731"/>
    <w:rsid w:val="004C2FED"/>
    <w:rsid w:val="004C41A0"/>
    <w:rsid w:val="004C5A1C"/>
    <w:rsid w:val="004D00ED"/>
    <w:rsid w:val="004E0C5F"/>
    <w:rsid w:val="004E1568"/>
    <w:rsid w:val="004E4C4B"/>
    <w:rsid w:val="004F1985"/>
    <w:rsid w:val="00526750"/>
    <w:rsid w:val="00526E63"/>
    <w:rsid w:val="00534292"/>
    <w:rsid w:val="005370C6"/>
    <w:rsid w:val="00546D5C"/>
    <w:rsid w:val="0055611A"/>
    <w:rsid w:val="005561AA"/>
    <w:rsid w:val="00570A99"/>
    <w:rsid w:val="00580B12"/>
    <w:rsid w:val="005907A7"/>
    <w:rsid w:val="0059335B"/>
    <w:rsid w:val="0059666A"/>
    <w:rsid w:val="005A0C43"/>
    <w:rsid w:val="005A7895"/>
    <w:rsid w:val="005B41AA"/>
    <w:rsid w:val="005C2792"/>
    <w:rsid w:val="005D338A"/>
    <w:rsid w:val="005D57B8"/>
    <w:rsid w:val="0060203E"/>
    <w:rsid w:val="00614B32"/>
    <w:rsid w:val="006207B6"/>
    <w:rsid w:val="00623EEE"/>
    <w:rsid w:val="00631900"/>
    <w:rsid w:val="00636C48"/>
    <w:rsid w:val="00646C35"/>
    <w:rsid w:val="0066342B"/>
    <w:rsid w:val="00671CA5"/>
    <w:rsid w:val="00674330"/>
    <w:rsid w:val="006744C5"/>
    <w:rsid w:val="00677F3C"/>
    <w:rsid w:val="0068289E"/>
    <w:rsid w:val="00690565"/>
    <w:rsid w:val="00692110"/>
    <w:rsid w:val="00692ED3"/>
    <w:rsid w:val="00693A67"/>
    <w:rsid w:val="00694052"/>
    <w:rsid w:val="006960EF"/>
    <w:rsid w:val="006A36EE"/>
    <w:rsid w:val="006A4A09"/>
    <w:rsid w:val="006B083F"/>
    <w:rsid w:val="006B5D57"/>
    <w:rsid w:val="006B5DCC"/>
    <w:rsid w:val="006D2583"/>
    <w:rsid w:val="006D5A14"/>
    <w:rsid w:val="006D671A"/>
    <w:rsid w:val="007138C1"/>
    <w:rsid w:val="007220A3"/>
    <w:rsid w:val="00725547"/>
    <w:rsid w:val="00726FC2"/>
    <w:rsid w:val="00734E8F"/>
    <w:rsid w:val="00744E34"/>
    <w:rsid w:val="0075383C"/>
    <w:rsid w:val="00755067"/>
    <w:rsid w:val="00766A3D"/>
    <w:rsid w:val="007677FB"/>
    <w:rsid w:val="0077488F"/>
    <w:rsid w:val="00777635"/>
    <w:rsid w:val="007A63C3"/>
    <w:rsid w:val="007C0372"/>
    <w:rsid w:val="007C1A4B"/>
    <w:rsid w:val="007C6A1F"/>
    <w:rsid w:val="007D4015"/>
    <w:rsid w:val="007E24AD"/>
    <w:rsid w:val="007E7318"/>
    <w:rsid w:val="008002BF"/>
    <w:rsid w:val="008043C0"/>
    <w:rsid w:val="00811AE1"/>
    <w:rsid w:val="00811C57"/>
    <w:rsid w:val="00831359"/>
    <w:rsid w:val="00834A7A"/>
    <w:rsid w:val="0083618B"/>
    <w:rsid w:val="00841268"/>
    <w:rsid w:val="0084734A"/>
    <w:rsid w:val="00850A8D"/>
    <w:rsid w:val="00854D2D"/>
    <w:rsid w:val="00855226"/>
    <w:rsid w:val="00863165"/>
    <w:rsid w:val="00865230"/>
    <w:rsid w:val="0088119C"/>
    <w:rsid w:val="008874C1"/>
    <w:rsid w:val="0089516A"/>
    <w:rsid w:val="008A3F88"/>
    <w:rsid w:val="008D70E2"/>
    <w:rsid w:val="008F58AC"/>
    <w:rsid w:val="009031A0"/>
    <w:rsid w:val="00914151"/>
    <w:rsid w:val="00915FBC"/>
    <w:rsid w:val="009350D5"/>
    <w:rsid w:val="0093510E"/>
    <w:rsid w:val="009451B7"/>
    <w:rsid w:val="00945FD4"/>
    <w:rsid w:val="00953407"/>
    <w:rsid w:val="0095550B"/>
    <w:rsid w:val="0095727E"/>
    <w:rsid w:val="00957E51"/>
    <w:rsid w:val="00972D55"/>
    <w:rsid w:val="00975B9E"/>
    <w:rsid w:val="009852E4"/>
    <w:rsid w:val="00986B5D"/>
    <w:rsid w:val="00995473"/>
    <w:rsid w:val="00997C9F"/>
    <w:rsid w:val="00997DC5"/>
    <w:rsid w:val="009A0EA4"/>
    <w:rsid w:val="009A4E66"/>
    <w:rsid w:val="009A68D9"/>
    <w:rsid w:val="009A7265"/>
    <w:rsid w:val="009B3320"/>
    <w:rsid w:val="009D0847"/>
    <w:rsid w:val="009E3547"/>
    <w:rsid w:val="009F4AA2"/>
    <w:rsid w:val="00A03656"/>
    <w:rsid w:val="00A10DDB"/>
    <w:rsid w:val="00A1101B"/>
    <w:rsid w:val="00A17634"/>
    <w:rsid w:val="00A20F39"/>
    <w:rsid w:val="00A32E03"/>
    <w:rsid w:val="00A565D0"/>
    <w:rsid w:val="00A57829"/>
    <w:rsid w:val="00A64547"/>
    <w:rsid w:val="00A6610F"/>
    <w:rsid w:val="00A670C6"/>
    <w:rsid w:val="00A7163B"/>
    <w:rsid w:val="00A722E4"/>
    <w:rsid w:val="00A748EB"/>
    <w:rsid w:val="00A94CD1"/>
    <w:rsid w:val="00AB7254"/>
    <w:rsid w:val="00AE63F9"/>
    <w:rsid w:val="00B21489"/>
    <w:rsid w:val="00B261D1"/>
    <w:rsid w:val="00B30E97"/>
    <w:rsid w:val="00B31789"/>
    <w:rsid w:val="00B33A0F"/>
    <w:rsid w:val="00B364EE"/>
    <w:rsid w:val="00B470CC"/>
    <w:rsid w:val="00B4761A"/>
    <w:rsid w:val="00B57E73"/>
    <w:rsid w:val="00B645F9"/>
    <w:rsid w:val="00B8199D"/>
    <w:rsid w:val="00B84128"/>
    <w:rsid w:val="00B90139"/>
    <w:rsid w:val="00BA37B8"/>
    <w:rsid w:val="00BC0411"/>
    <w:rsid w:val="00BC7BB5"/>
    <w:rsid w:val="00BE0CDE"/>
    <w:rsid w:val="00BE2E2E"/>
    <w:rsid w:val="00BF13E6"/>
    <w:rsid w:val="00C03376"/>
    <w:rsid w:val="00C061A8"/>
    <w:rsid w:val="00C20890"/>
    <w:rsid w:val="00C21FB9"/>
    <w:rsid w:val="00C32B01"/>
    <w:rsid w:val="00C33B1C"/>
    <w:rsid w:val="00C41846"/>
    <w:rsid w:val="00C43C8C"/>
    <w:rsid w:val="00C5249B"/>
    <w:rsid w:val="00C53C30"/>
    <w:rsid w:val="00C557E9"/>
    <w:rsid w:val="00C66A63"/>
    <w:rsid w:val="00C774CC"/>
    <w:rsid w:val="00C8776F"/>
    <w:rsid w:val="00C92DB5"/>
    <w:rsid w:val="00C94351"/>
    <w:rsid w:val="00CA1BE8"/>
    <w:rsid w:val="00CA31D3"/>
    <w:rsid w:val="00CB75C7"/>
    <w:rsid w:val="00CC1B85"/>
    <w:rsid w:val="00CC1DEC"/>
    <w:rsid w:val="00CC36AF"/>
    <w:rsid w:val="00CC4236"/>
    <w:rsid w:val="00CC4E18"/>
    <w:rsid w:val="00CC7EA9"/>
    <w:rsid w:val="00CE217B"/>
    <w:rsid w:val="00CE3871"/>
    <w:rsid w:val="00CF696D"/>
    <w:rsid w:val="00D00B55"/>
    <w:rsid w:val="00D0183C"/>
    <w:rsid w:val="00D0244D"/>
    <w:rsid w:val="00D068CD"/>
    <w:rsid w:val="00D31BC8"/>
    <w:rsid w:val="00D43B92"/>
    <w:rsid w:val="00D91389"/>
    <w:rsid w:val="00D9399F"/>
    <w:rsid w:val="00D946C6"/>
    <w:rsid w:val="00DA131F"/>
    <w:rsid w:val="00DB0808"/>
    <w:rsid w:val="00DB2191"/>
    <w:rsid w:val="00DB26B7"/>
    <w:rsid w:val="00DC4D3D"/>
    <w:rsid w:val="00E16F92"/>
    <w:rsid w:val="00E170F5"/>
    <w:rsid w:val="00E22FA9"/>
    <w:rsid w:val="00E26773"/>
    <w:rsid w:val="00E40F8A"/>
    <w:rsid w:val="00E458F9"/>
    <w:rsid w:val="00E46916"/>
    <w:rsid w:val="00E50E68"/>
    <w:rsid w:val="00E55525"/>
    <w:rsid w:val="00E615A5"/>
    <w:rsid w:val="00E66E78"/>
    <w:rsid w:val="00E748B2"/>
    <w:rsid w:val="00E74D40"/>
    <w:rsid w:val="00E907E4"/>
    <w:rsid w:val="00E974BF"/>
    <w:rsid w:val="00EB0C43"/>
    <w:rsid w:val="00EB1581"/>
    <w:rsid w:val="00EB22E6"/>
    <w:rsid w:val="00EB39BA"/>
    <w:rsid w:val="00EC1C9E"/>
    <w:rsid w:val="00ED1C8E"/>
    <w:rsid w:val="00EE1FDB"/>
    <w:rsid w:val="00EE6B14"/>
    <w:rsid w:val="00EF1ECA"/>
    <w:rsid w:val="00EF34C6"/>
    <w:rsid w:val="00F00459"/>
    <w:rsid w:val="00F00908"/>
    <w:rsid w:val="00F04F9F"/>
    <w:rsid w:val="00F10B26"/>
    <w:rsid w:val="00F15A26"/>
    <w:rsid w:val="00F23173"/>
    <w:rsid w:val="00F25440"/>
    <w:rsid w:val="00F33349"/>
    <w:rsid w:val="00F4142B"/>
    <w:rsid w:val="00F41F6F"/>
    <w:rsid w:val="00F50402"/>
    <w:rsid w:val="00F60937"/>
    <w:rsid w:val="00F644F4"/>
    <w:rsid w:val="00F660C8"/>
    <w:rsid w:val="00F73A9C"/>
    <w:rsid w:val="00F8416F"/>
    <w:rsid w:val="00F9366B"/>
    <w:rsid w:val="00F968A7"/>
    <w:rsid w:val="00FA6F13"/>
    <w:rsid w:val="00FB362B"/>
    <w:rsid w:val="00FB6594"/>
    <w:rsid w:val="00FC2B5F"/>
    <w:rsid w:val="00FC4EB5"/>
    <w:rsid w:val="00FC5AEB"/>
    <w:rsid w:val="00FD1970"/>
    <w:rsid w:val="00FD1ED2"/>
    <w:rsid w:val="00FE2296"/>
    <w:rsid w:val="00FE605A"/>
    <w:rsid w:val="00FF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4E8F0"/>
  <w15:chartTrackingRefBased/>
  <w15:docId w15:val="{20382CA7-75DA-4925-8054-49A8FF58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465"/>
    <w:pPr>
      <w:ind w:left="720"/>
    </w:pPr>
  </w:style>
  <w:style w:type="paragraph" w:styleId="BalloonText">
    <w:name w:val="Balloon Text"/>
    <w:basedOn w:val="Normal"/>
    <w:link w:val="BalloonTextChar"/>
    <w:uiPriority w:val="99"/>
    <w:semiHidden/>
    <w:unhideWhenUsed/>
    <w:rsid w:val="001547B3"/>
    <w:rPr>
      <w:rFonts w:ascii="Segoe UI" w:hAnsi="Segoe UI" w:cs="Segoe UI"/>
      <w:sz w:val="18"/>
      <w:szCs w:val="18"/>
    </w:rPr>
  </w:style>
  <w:style w:type="character" w:customStyle="1" w:styleId="BalloonTextChar">
    <w:name w:val="Balloon Text Char"/>
    <w:link w:val="BalloonText"/>
    <w:uiPriority w:val="99"/>
    <w:semiHidden/>
    <w:rsid w:val="001547B3"/>
    <w:rPr>
      <w:rFonts w:ascii="Segoe UI" w:hAnsi="Segoe UI" w:cs="Segoe UI"/>
      <w:sz w:val="18"/>
      <w:szCs w:val="18"/>
    </w:rPr>
  </w:style>
  <w:style w:type="character" w:styleId="Hyperlink">
    <w:name w:val="Hyperlink"/>
    <w:uiPriority w:val="99"/>
    <w:unhideWhenUsed/>
    <w:rsid w:val="004C41A0"/>
    <w:rPr>
      <w:color w:val="0563C1"/>
      <w:u w:val="single"/>
    </w:rPr>
  </w:style>
  <w:style w:type="character" w:styleId="Emphasis">
    <w:name w:val="Emphasis"/>
    <w:uiPriority w:val="20"/>
    <w:qFormat/>
    <w:rsid w:val="00F4142B"/>
    <w:rPr>
      <w:i/>
      <w:iCs/>
    </w:rPr>
  </w:style>
  <w:style w:type="character" w:customStyle="1" w:styleId="apple-converted-space">
    <w:name w:val="apple-converted-space"/>
    <w:rsid w:val="00F4142B"/>
  </w:style>
  <w:style w:type="character" w:styleId="Strong">
    <w:name w:val="Strong"/>
    <w:uiPriority w:val="22"/>
    <w:qFormat/>
    <w:rsid w:val="00F4142B"/>
    <w:rPr>
      <w:b/>
      <w:bCs/>
    </w:rPr>
  </w:style>
  <w:style w:type="paragraph" w:customStyle="1" w:styleId="Default">
    <w:name w:val="Default"/>
    <w:rsid w:val="00F4142B"/>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5C2792"/>
    <w:pPr>
      <w:tabs>
        <w:tab w:val="center" w:pos="4680"/>
        <w:tab w:val="right" w:pos="9360"/>
      </w:tabs>
    </w:pPr>
  </w:style>
  <w:style w:type="character" w:customStyle="1" w:styleId="HeaderChar">
    <w:name w:val="Header Char"/>
    <w:link w:val="Header"/>
    <w:uiPriority w:val="99"/>
    <w:rsid w:val="005C2792"/>
    <w:rPr>
      <w:sz w:val="24"/>
      <w:szCs w:val="24"/>
    </w:rPr>
  </w:style>
  <w:style w:type="paragraph" w:styleId="Footer">
    <w:name w:val="footer"/>
    <w:basedOn w:val="Normal"/>
    <w:link w:val="FooterChar"/>
    <w:uiPriority w:val="99"/>
    <w:unhideWhenUsed/>
    <w:rsid w:val="005C2792"/>
    <w:pPr>
      <w:tabs>
        <w:tab w:val="center" w:pos="4680"/>
        <w:tab w:val="right" w:pos="9360"/>
      </w:tabs>
    </w:pPr>
  </w:style>
  <w:style w:type="character" w:customStyle="1" w:styleId="FooterChar">
    <w:name w:val="Footer Char"/>
    <w:link w:val="Footer"/>
    <w:uiPriority w:val="99"/>
    <w:rsid w:val="005C2792"/>
    <w:rPr>
      <w:sz w:val="24"/>
      <w:szCs w:val="24"/>
    </w:rPr>
  </w:style>
  <w:style w:type="paragraph" w:styleId="NormalWeb">
    <w:name w:val="Normal (Web)"/>
    <w:basedOn w:val="Normal"/>
    <w:uiPriority w:val="99"/>
    <w:semiHidden/>
    <w:unhideWhenUsed/>
    <w:rsid w:val="009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85749">
      <w:bodyDiv w:val="1"/>
      <w:marLeft w:val="0"/>
      <w:marRight w:val="0"/>
      <w:marTop w:val="0"/>
      <w:marBottom w:val="0"/>
      <w:divBdr>
        <w:top w:val="none" w:sz="0" w:space="0" w:color="auto"/>
        <w:left w:val="none" w:sz="0" w:space="0" w:color="auto"/>
        <w:bottom w:val="none" w:sz="0" w:space="0" w:color="auto"/>
        <w:right w:val="none" w:sz="0" w:space="0" w:color="auto"/>
      </w:divBdr>
    </w:div>
    <w:div w:id="395202626">
      <w:bodyDiv w:val="1"/>
      <w:marLeft w:val="0"/>
      <w:marRight w:val="0"/>
      <w:marTop w:val="0"/>
      <w:marBottom w:val="0"/>
      <w:divBdr>
        <w:top w:val="none" w:sz="0" w:space="0" w:color="auto"/>
        <w:left w:val="none" w:sz="0" w:space="0" w:color="auto"/>
        <w:bottom w:val="none" w:sz="0" w:space="0" w:color="auto"/>
        <w:right w:val="none" w:sz="0" w:space="0" w:color="auto"/>
      </w:divBdr>
    </w:div>
    <w:div w:id="459302023">
      <w:bodyDiv w:val="1"/>
      <w:marLeft w:val="0"/>
      <w:marRight w:val="0"/>
      <w:marTop w:val="0"/>
      <w:marBottom w:val="0"/>
      <w:divBdr>
        <w:top w:val="none" w:sz="0" w:space="0" w:color="auto"/>
        <w:left w:val="none" w:sz="0" w:space="0" w:color="auto"/>
        <w:bottom w:val="none" w:sz="0" w:space="0" w:color="auto"/>
        <w:right w:val="none" w:sz="0" w:space="0" w:color="auto"/>
      </w:divBdr>
    </w:div>
    <w:div w:id="705909206">
      <w:bodyDiv w:val="1"/>
      <w:marLeft w:val="0"/>
      <w:marRight w:val="0"/>
      <w:marTop w:val="0"/>
      <w:marBottom w:val="0"/>
      <w:divBdr>
        <w:top w:val="none" w:sz="0" w:space="0" w:color="auto"/>
        <w:left w:val="none" w:sz="0" w:space="0" w:color="auto"/>
        <w:bottom w:val="none" w:sz="0" w:space="0" w:color="auto"/>
        <w:right w:val="none" w:sz="0" w:space="0" w:color="auto"/>
      </w:divBdr>
    </w:div>
    <w:div w:id="822234160">
      <w:bodyDiv w:val="1"/>
      <w:marLeft w:val="0"/>
      <w:marRight w:val="0"/>
      <w:marTop w:val="0"/>
      <w:marBottom w:val="0"/>
      <w:divBdr>
        <w:top w:val="none" w:sz="0" w:space="0" w:color="auto"/>
        <w:left w:val="none" w:sz="0" w:space="0" w:color="auto"/>
        <w:bottom w:val="none" w:sz="0" w:space="0" w:color="auto"/>
        <w:right w:val="none" w:sz="0" w:space="0" w:color="auto"/>
      </w:divBdr>
    </w:div>
    <w:div w:id="1406293582">
      <w:bodyDiv w:val="1"/>
      <w:marLeft w:val="0"/>
      <w:marRight w:val="0"/>
      <w:marTop w:val="0"/>
      <w:marBottom w:val="0"/>
      <w:divBdr>
        <w:top w:val="none" w:sz="0" w:space="0" w:color="auto"/>
        <w:left w:val="none" w:sz="0" w:space="0" w:color="auto"/>
        <w:bottom w:val="none" w:sz="0" w:space="0" w:color="auto"/>
        <w:right w:val="none" w:sz="0" w:space="0" w:color="auto"/>
      </w:divBdr>
    </w:div>
    <w:div w:id="1519387353">
      <w:bodyDiv w:val="1"/>
      <w:marLeft w:val="0"/>
      <w:marRight w:val="0"/>
      <w:marTop w:val="0"/>
      <w:marBottom w:val="0"/>
      <w:divBdr>
        <w:top w:val="none" w:sz="0" w:space="0" w:color="auto"/>
        <w:left w:val="none" w:sz="0" w:space="0" w:color="auto"/>
        <w:bottom w:val="none" w:sz="0" w:space="0" w:color="auto"/>
        <w:right w:val="none" w:sz="0" w:space="0" w:color="auto"/>
      </w:divBdr>
    </w:div>
    <w:div w:id="1743723379">
      <w:bodyDiv w:val="1"/>
      <w:marLeft w:val="0"/>
      <w:marRight w:val="0"/>
      <w:marTop w:val="0"/>
      <w:marBottom w:val="0"/>
      <w:divBdr>
        <w:top w:val="none" w:sz="0" w:space="0" w:color="auto"/>
        <w:left w:val="none" w:sz="0" w:space="0" w:color="auto"/>
        <w:bottom w:val="none" w:sz="0" w:space="0" w:color="auto"/>
        <w:right w:val="none" w:sz="0" w:space="0" w:color="auto"/>
      </w:divBdr>
    </w:div>
    <w:div w:id="1820611313">
      <w:bodyDiv w:val="1"/>
      <w:marLeft w:val="0"/>
      <w:marRight w:val="0"/>
      <w:marTop w:val="0"/>
      <w:marBottom w:val="0"/>
      <w:divBdr>
        <w:top w:val="none" w:sz="0" w:space="0" w:color="auto"/>
        <w:left w:val="none" w:sz="0" w:space="0" w:color="auto"/>
        <w:bottom w:val="none" w:sz="0" w:space="0" w:color="auto"/>
        <w:right w:val="none" w:sz="0" w:space="0" w:color="auto"/>
      </w:divBdr>
    </w:div>
    <w:div w:id="2041320219">
      <w:bodyDiv w:val="1"/>
      <w:marLeft w:val="0"/>
      <w:marRight w:val="0"/>
      <w:marTop w:val="0"/>
      <w:marBottom w:val="0"/>
      <w:divBdr>
        <w:top w:val="none" w:sz="0" w:space="0" w:color="auto"/>
        <w:left w:val="none" w:sz="0" w:space="0" w:color="auto"/>
        <w:bottom w:val="none" w:sz="0" w:space="0" w:color="auto"/>
        <w:right w:val="none" w:sz="0" w:space="0" w:color="auto"/>
      </w:divBdr>
    </w:div>
    <w:div w:id="21377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4EE30-C977-4A82-BC93-DA80AF52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Potpourri Pastimes – June, 2005 Show</vt:lpstr>
    </vt:vector>
  </TitlesOfParts>
  <Company>Glacier Bancorp</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in old age</dc:title>
  <dc:subject/>
  <dc:creator>AMc</dc:creator>
  <cp:keywords/>
  <cp:lastModifiedBy>charles golden</cp:lastModifiedBy>
  <cp:revision>5</cp:revision>
  <cp:lastPrinted>2018-09-30T18:57:00Z</cp:lastPrinted>
  <dcterms:created xsi:type="dcterms:W3CDTF">2020-03-21T14:39:00Z</dcterms:created>
  <dcterms:modified xsi:type="dcterms:W3CDTF">2020-04-27T17:57:00Z</dcterms:modified>
</cp:coreProperties>
</file>